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81A9E" w14:textId="77777777" w:rsidR="00ED4AC9" w:rsidRDefault="00623EE1">
      <w:pPr>
        <w:spacing w:before="240" w:after="240"/>
        <w:jc w:val="center"/>
        <w:rPr>
          <w:b/>
          <w:sz w:val="28"/>
          <w:szCs w:val="28"/>
        </w:rPr>
      </w:pPr>
      <w:r>
        <w:rPr>
          <w:b/>
          <w:sz w:val="28"/>
          <w:szCs w:val="28"/>
        </w:rPr>
        <w:t>Check list for “Adaptation Plan Development Process”</w:t>
      </w:r>
    </w:p>
    <w:p w14:paraId="2C5210C4" w14:textId="2758459F" w:rsidR="00ED4AC9" w:rsidRDefault="00623EE1">
      <w:pPr>
        <w:numPr>
          <w:ilvl w:val="0"/>
          <w:numId w:val="1"/>
        </w:numPr>
        <w:pBdr>
          <w:top w:val="nil"/>
          <w:left w:val="nil"/>
          <w:bottom w:val="nil"/>
          <w:right w:val="nil"/>
          <w:between w:val="nil"/>
        </w:pBdr>
        <w:spacing w:before="240" w:after="240"/>
        <w:jc w:val="center"/>
        <w:rPr>
          <w:b/>
          <w:color w:val="000000"/>
          <w:sz w:val="28"/>
          <w:szCs w:val="28"/>
        </w:rPr>
      </w:pPr>
      <w:bookmarkStart w:id="0" w:name="_heading=h.gjdgxs" w:colFirst="0" w:colLast="0"/>
      <w:bookmarkEnd w:id="0"/>
      <w:r>
        <w:rPr>
          <w:rFonts w:eastAsia="Arial"/>
          <w:b/>
          <w:color w:val="000000"/>
          <w:sz w:val="28"/>
          <w:szCs w:val="28"/>
        </w:rPr>
        <w:t>Implementation of adaptation measures</w:t>
      </w:r>
    </w:p>
    <w:p w14:paraId="635A0239" w14:textId="77777777" w:rsidR="00ED4AC9" w:rsidRDefault="009B23F2">
      <w:pPr>
        <w:spacing w:before="240" w:after="240"/>
        <w:jc w:val="both"/>
      </w:pPr>
      <w:r w:rsidRPr="00DA013F">
        <w:t>This checklist is developed for national / local planners to self-assess work on developing climate change adaptation plans. The items listed here are only examples, and that additional processes may or may not be required depending on the country or district. The list therefore can be edited as appropriate according to the situation in each country or district</w:t>
      </w:r>
      <w:r>
        <w:t>.</w:t>
      </w:r>
    </w:p>
    <w:p w14:paraId="0F142871" w14:textId="77777777" w:rsidR="009B23F2" w:rsidRDefault="009B23F2">
      <w:pPr>
        <w:spacing w:before="240" w:after="240"/>
        <w:jc w:val="both"/>
      </w:pPr>
      <w:r>
        <w:rPr>
          <w:noProof/>
        </w:rPr>
        <mc:AlternateContent>
          <mc:Choice Requires="wps">
            <w:drawing>
              <wp:anchor distT="45720" distB="45720" distL="114300" distR="114300" simplePos="0" relativeHeight="251659264" behindDoc="0" locked="0" layoutInCell="1" allowOverlap="1" wp14:anchorId="490D7FC9" wp14:editId="25EC175D">
                <wp:simplePos x="0" y="0"/>
                <wp:positionH relativeFrom="margin">
                  <wp:align>left</wp:align>
                </wp:positionH>
                <wp:positionV relativeFrom="paragraph">
                  <wp:posOffset>224155</wp:posOffset>
                </wp:positionV>
                <wp:extent cx="8839200" cy="129540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0" cy="1295400"/>
                        </a:xfrm>
                        <a:prstGeom prst="rect">
                          <a:avLst/>
                        </a:prstGeom>
                        <a:solidFill>
                          <a:srgbClr val="D6E3A5"/>
                        </a:solidFill>
                        <a:ln w="9525">
                          <a:noFill/>
                          <a:miter lim="800000"/>
                          <a:headEnd/>
                          <a:tailEnd/>
                        </a:ln>
                      </wps:spPr>
                      <wps:txbx>
                        <w:txbxContent>
                          <w:p w14:paraId="03782E5D" w14:textId="77777777" w:rsidR="009B23F2" w:rsidRDefault="009B23F2" w:rsidP="005D156D">
                            <w:pPr>
                              <w:jc w:val="both"/>
                            </w:pPr>
                            <w:r w:rsidRPr="009B23F2">
                              <w:t>Once the adaptation plan has been developed, the next step is to implement it. Mobilizing the plan for implementation requires certain arrangements such as the authorization and then coordination with relevant actors. Effective collaboration with relevant ministries, local governments, businesses, and civil society is essential for effective adaptation. Whenever appropriate, actions should be taken to integrate adaptation measures into various national plans, such as development or environmental protection plans. In addition, if funds for the implementation of adaptation measures are inadequate, additional funding opportunities should be explored.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4A71CD" id="_x0000_t202" coordsize="21600,21600" o:spt="202" path="m,l,21600r21600,l21600,xe">
                <v:stroke joinstyle="miter"/>
                <v:path gradientshapeok="t" o:connecttype="rect"/>
              </v:shapetype>
              <v:shape id="テキスト ボックス 2" o:spid="_x0000_s1026" type="#_x0000_t202" style="position:absolute;left:0;text-align:left;margin-left:0;margin-top:17.65pt;width:696pt;height:102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OGbQwIAAC8EAAAOAAAAZHJzL2Uyb0RvYy54bWysU8GO0zAQvSPxD5bvNG223W2jpqvS7iKk&#10;XUBa+ADXcRoLxxNst0k5thLiI/gFxJnvyY8wdrrdAjdEDtZMZub5zZvx9LopFdkKYyXolA56fUqE&#10;5pBJvU7ph/e3L8aUWMd0xhRokdKdsPR69vzZtK4SEUMBKhOGIIi2SV2ltHCuSqLI8kKUzPagEhqD&#10;OZiSOXTNOsoMqxG9VFHc719GNZisMsCFtfh32QXpLODnueDubZ5b4YhKKXJz4TThXPkzmk1Zsjas&#10;KiQ/0mD/wKJkUuOlJ6glc4xsjPwLqpTcgIXc9TiUEeS55CL0gN0M+n9081CwSoReUBxbnWSy/w+W&#10;v9m+M0RmKY0HV5RoVuKQ2sOXdv+93f9sD19Je/jWHg7t/gf6JPaC1ZVNsO6hwkrXvIQGBx+at9Ud&#10;8I+WaFgUTK/F3BioC8EyJDzwldFZaYdjPciqvocM72UbBwGoyU3p1UR9CKLj4HanYYnGEY4/x+OL&#10;CW4AJRxjg3gyGqLj72DJY3llrHsloCTeSKnBbQjwbHtnXZf6mOJvs6BkdiuVCo5ZrxbKkC3DzVle&#10;3lzMR0f039KUJnVKJ6N4FJA1+HqEZkkpHW62kiVS7fvPl7PEy3Gjs2A7JlVnI2mlj/p4STpxXLNq&#10;MNGLtoJsh0oZ6DYYXxwaBZjPlNS4vSm1nzbMCErUa41qTwbDoV/34AxHVzE65jyyOo8wzREqpY6S&#10;zly48EQ8Xw1znEoug15PTI5ccSuD4scX5Nf+3A9ZT+989gsAAP//AwBQSwMEFAAGAAgAAAAhAIsW&#10;Q57dAAAACAEAAA8AAABkcnMvZG93bnJldi54bWxMj81OwzAQhO9IvIO1SNyoQ6wiGrKpEAhuINoi&#10;wdGNnR/VXke2m5q3xz3BcXZWM9/U62QNm7UPoyOE20UBTFPr1Eg9wufu5eYeWIiSlDSONMKPDrBu&#10;Li9qWSl3oo2et7FnOYRCJRGGGKeK89AO2sqwcJOm7HXOWxmz9D1XXp5yuDW8LIo7buVIuWGQk34a&#10;dHvYHi2CeZVvu296XvqP4r07zGlO/VeHeH2VHh+ARZ3i3zOc8TM6NJlp746kAjMIeUhEEEsB7OyK&#10;VZkve4RSrATwpub/BzS/AAAA//8DAFBLAQItABQABgAIAAAAIQC2gziS/gAAAOEBAAATAAAAAAAA&#10;AAAAAAAAAAAAAABbQ29udGVudF9UeXBlc10ueG1sUEsBAi0AFAAGAAgAAAAhADj9If/WAAAAlAEA&#10;AAsAAAAAAAAAAAAAAAAALwEAAF9yZWxzLy5yZWxzUEsBAi0AFAAGAAgAAAAhADTY4ZtDAgAALwQA&#10;AA4AAAAAAAAAAAAAAAAALgIAAGRycy9lMm9Eb2MueG1sUEsBAi0AFAAGAAgAAAAhAIsWQ57dAAAA&#10;CAEAAA8AAAAAAAAAAAAAAAAAnQQAAGRycy9kb3ducmV2LnhtbFBLBQYAAAAABAAEAPMAAACnBQAA&#10;AAA=&#10;" fillcolor="#d6e3a5" stroked="f">
                <v:textbox>
                  <w:txbxContent>
                    <w:p w:rsidR="009B23F2" w:rsidRDefault="009B23F2" w:rsidP="005D156D">
                      <w:pPr>
                        <w:jc w:val="both"/>
                      </w:pPr>
                      <w:r w:rsidRPr="009B23F2">
                        <w:t>Once the adaptation plan has been developed, the next step is to implement it. Mobilizing the plan for implementation requires certain arrangements such as the authorization and then coordination with relevant actors. Effective collaboration with relevant ministries, local governments, businesses, and civil society is essential for effective adaptation. Whenever appropriate, actions should be taken to integrate adaptation measures into various national plans, such as development or environmental protection plans. In addition, if funds for the implementation of adaptation measures are inadequate, additional funding opportunities should be explored.</w:t>
                      </w:r>
                    </w:p>
                  </w:txbxContent>
                </v:textbox>
                <w10:wrap type="square" anchorx="margin"/>
              </v:shape>
            </w:pict>
          </mc:Fallback>
        </mc:AlternateContent>
      </w:r>
    </w:p>
    <w:p w14:paraId="13602177" w14:textId="77777777" w:rsidR="009B23F2" w:rsidRDefault="009B23F2">
      <w:pPr>
        <w:spacing w:before="240" w:after="240"/>
        <w:jc w:val="both"/>
      </w:pPr>
    </w:p>
    <w:p w14:paraId="69F07E5C" w14:textId="77777777" w:rsidR="009B23F2" w:rsidRDefault="009B23F2" w:rsidP="009B23F2">
      <w:pPr>
        <w:spacing w:before="240" w:after="240"/>
        <w:jc w:val="both"/>
      </w:pPr>
      <w:r w:rsidRPr="00EB478A">
        <w:t xml:space="preserve">Place ‘X’ within ‘Yes’ box </w:t>
      </w:r>
      <w:r>
        <w:t xml:space="preserve">if the criteria is undergoing or already achieved, </w:t>
      </w:r>
      <w:r w:rsidRPr="00EB478A">
        <w:t>and make any relevant comments.</w:t>
      </w:r>
    </w:p>
    <w:p w14:paraId="4A2C8F19" w14:textId="77777777" w:rsidR="009B23F2" w:rsidRPr="009B23F2" w:rsidRDefault="009B23F2">
      <w:pPr>
        <w:spacing w:before="240" w:after="240"/>
        <w:jc w:val="both"/>
      </w:pPr>
    </w:p>
    <w:p w14:paraId="2A7A9FB4" w14:textId="77777777" w:rsidR="00ED4AC9" w:rsidRDefault="00623EE1">
      <w:pPr>
        <w:spacing w:before="240" w:after="240"/>
        <w:rPr>
          <w:b/>
          <w:u w:val="single"/>
        </w:rPr>
      </w:pPr>
      <w:r>
        <w:rPr>
          <w:b/>
          <w:u w:val="single"/>
        </w:rPr>
        <w:t>Implementation of adaptation plan</w:t>
      </w:r>
    </w:p>
    <w:tbl>
      <w:tblPr>
        <w:tblStyle w:val="afe"/>
        <w:tblW w:w="140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99"/>
        <w:gridCol w:w="1560"/>
        <w:gridCol w:w="708"/>
        <w:gridCol w:w="4948"/>
      </w:tblGrid>
      <w:tr w:rsidR="00ED4AC9" w14:paraId="5F6DCDCA" w14:textId="77777777" w:rsidTr="009B23F2">
        <w:tc>
          <w:tcPr>
            <w:tcW w:w="6799" w:type="dxa"/>
            <w:shd w:val="clear" w:color="auto" w:fill="BDD270"/>
          </w:tcPr>
          <w:p w14:paraId="3D4D8C44" w14:textId="77777777" w:rsidR="00ED4AC9" w:rsidRDefault="00623EE1">
            <w:pPr>
              <w:rPr>
                <w:rFonts w:ascii="Arial" w:eastAsia="Arial" w:hAnsi="Arial" w:cs="Arial"/>
                <w:b/>
                <w:sz w:val="21"/>
                <w:szCs w:val="21"/>
              </w:rPr>
            </w:pPr>
            <w:r>
              <w:rPr>
                <w:rFonts w:ascii="Arial" w:eastAsia="Arial" w:hAnsi="Arial" w:cs="Arial"/>
                <w:b/>
                <w:sz w:val="21"/>
                <w:szCs w:val="21"/>
              </w:rPr>
              <w:t>Criteria</w:t>
            </w:r>
          </w:p>
        </w:tc>
        <w:tc>
          <w:tcPr>
            <w:tcW w:w="1560" w:type="dxa"/>
            <w:shd w:val="clear" w:color="auto" w:fill="BDD270"/>
          </w:tcPr>
          <w:p w14:paraId="630AD84E" w14:textId="77777777" w:rsidR="00ED4AC9" w:rsidRDefault="00623EE1">
            <w:pPr>
              <w:rPr>
                <w:rFonts w:ascii="Arial" w:eastAsia="Arial" w:hAnsi="Arial" w:cs="Arial"/>
                <w:b/>
                <w:sz w:val="21"/>
                <w:szCs w:val="21"/>
              </w:rPr>
            </w:pPr>
            <w:r>
              <w:rPr>
                <w:rFonts w:ascii="Arial" w:eastAsia="Arial" w:hAnsi="Arial" w:cs="Arial"/>
                <w:b/>
                <w:sz w:val="21"/>
                <w:szCs w:val="21"/>
              </w:rPr>
              <w:t>Lead</w:t>
            </w:r>
          </w:p>
        </w:tc>
        <w:tc>
          <w:tcPr>
            <w:tcW w:w="708" w:type="dxa"/>
            <w:shd w:val="clear" w:color="auto" w:fill="BDD270"/>
          </w:tcPr>
          <w:p w14:paraId="32190CBE" w14:textId="77777777" w:rsidR="00ED4AC9" w:rsidRDefault="00623EE1">
            <w:pPr>
              <w:rPr>
                <w:rFonts w:ascii="Arial" w:eastAsia="Arial" w:hAnsi="Arial" w:cs="Arial"/>
                <w:b/>
                <w:sz w:val="21"/>
                <w:szCs w:val="21"/>
              </w:rPr>
            </w:pPr>
            <w:r>
              <w:rPr>
                <w:rFonts w:ascii="Arial" w:eastAsia="Arial" w:hAnsi="Arial" w:cs="Arial"/>
                <w:b/>
                <w:sz w:val="21"/>
                <w:szCs w:val="21"/>
              </w:rPr>
              <w:t>Yes</w:t>
            </w:r>
          </w:p>
        </w:tc>
        <w:tc>
          <w:tcPr>
            <w:tcW w:w="4948" w:type="dxa"/>
            <w:shd w:val="clear" w:color="auto" w:fill="BDD270"/>
          </w:tcPr>
          <w:p w14:paraId="060A97CA" w14:textId="77777777" w:rsidR="00ED4AC9" w:rsidRDefault="00623EE1">
            <w:pPr>
              <w:rPr>
                <w:rFonts w:ascii="Arial" w:eastAsia="Arial" w:hAnsi="Arial" w:cs="Arial"/>
                <w:b/>
                <w:sz w:val="21"/>
                <w:szCs w:val="21"/>
              </w:rPr>
            </w:pPr>
            <w:r>
              <w:rPr>
                <w:rFonts w:ascii="Arial" w:eastAsia="Arial" w:hAnsi="Arial" w:cs="Arial"/>
                <w:b/>
                <w:sz w:val="21"/>
                <w:szCs w:val="21"/>
              </w:rPr>
              <w:t>Comments</w:t>
            </w:r>
          </w:p>
        </w:tc>
      </w:tr>
      <w:tr w:rsidR="00ED4AC9" w14:paraId="5155CF77" w14:textId="77777777" w:rsidTr="009B23F2">
        <w:tc>
          <w:tcPr>
            <w:tcW w:w="14015" w:type="dxa"/>
            <w:gridSpan w:val="4"/>
            <w:shd w:val="clear" w:color="auto" w:fill="D6E3A5"/>
          </w:tcPr>
          <w:p w14:paraId="127C9B12" w14:textId="77777777" w:rsidR="00ED4AC9" w:rsidRDefault="00623EE1">
            <w:pPr>
              <w:rPr>
                <w:rFonts w:ascii="Arial" w:eastAsia="Arial" w:hAnsi="Arial" w:cs="Arial"/>
                <w:b/>
                <w:sz w:val="21"/>
                <w:szCs w:val="21"/>
              </w:rPr>
            </w:pPr>
            <w:r>
              <w:rPr>
                <w:rFonts w:ascii="Arial" w:eastAsia="Arial" w:hAnsi="Arial" w:cs="Arial"/>
                <w:b/>
                <w:sz w:val="21"/>
                <w:szCs w:val="21"/>
              </w:rPr>
              <w:t>Capacity enhancement</w:t>
            </w:r>
          </w:p>
        </w:tc>
      </w:tr>
      <w:tr w:rsidR="00ED4AC9" w14:paraId="7C5DBBAE" w14:textId="77777777">
        <w:tc>
          <w:tcPr>
            <w:tcW w:w="6799" w:type="dxa"/>
          </w:tcPr>
          <w:p w14:paraId="6404DE79" w14:textId="77777777" w:rsidR="00ED4AC9" w:rsidRDefault="00623EE1">
            <w:pPr>
              <w:rPr>
                <w:rFonts w:ascii="Arial" w:eastAsia="Arial" w:hAnsi="Arial" w:cs="Arial"/>
                <w:sz w:val="21"/>
                <w:szCs w:val="21"/>
              </w:rPr>
            </w:pPr>
            <w:r>
              <w:rPr>
                <w:rFonts w:ascii="Arial" w:eastAsia="Arial" w:hAnsi="Arial" w:cs="Arial"/>
                <w:sz w:val="21"/>
                <w:szCs w:val="21"/>
              </w:rPr>
              <w:t>Strengthen institutional and regulatory frameworks for addressing adaptation in the long-term at national and sectoral levels.</w:t>
            </w:r>
          </w:p>
        </w:tc>
        <w:tc>
          <w:tcPr>
            <w:tcW w:w="1560" w:type="dxa"/>
            <w:vMerge w:val="restart"/>
          </w:tcPr>
          <w:p w14:paraId="29D7A46C" w14:textId="77777777" w:rsidR="00ED4AC9" w:rsidRDefault="00623EE1">
            <w:pPr>
              <w:rPr>
                <w:rFonts w:ascii="Arial" w:eastAsia="Arial" w:hAnsi="Arial" w:cs="Arial"/>
                <w:sz w:val="21"/>
                <w:szCs w:val="21"/>
              </w:rPr>
            </w:pPr>
            <w:r>
              <w:rPr>
                <w:rFonts w:ascii="Arial" w:eastAsia="Arial" w:hAnsi="Arial" w:cs="Arial"/>
                <w:sz w:val="21"/>
                <w:szCs w:val="21"/>
              </w:rPr>
              <w:t>NAP Taskforce</w:t>
            </w:r>
          </w:p>
        </w:tc>
        <w:tc>
          <w:tcPr>
            <w:tcW w:w="708" w:type="dxa"/>
          </w:tcPr>
          <w:p w14:paraId="50CB7C41" w14:textId="77777777" w:rsidR="00ED4AC9" w:rsidRDefault="00ED4AC9">
            <w:pPr>
              <w:rPr>
                <w:rFonts w:ascii="Arial" w:eastAsia="Arial" w:hAnsi="Arial" w:cs="Arial"/>
                <w:sz w:val="21"/>
                <w:szCs w:val="21"/>
              </w:rPr>
            </w:pPr>
          </w:p>
        </w:tc>
        <w:tc>
          <w:tcPr>
            <w:tcW w:w="4948" w:type="dxa"/>
          </w:tcPr>
          <w:p w14:paraId="296AAC38" w14:textId="77777777" w:rsidR="00ED4AC9" w:rsidRDefault="00ED4AC9">
            <w:pPr>
              <w:rPr>
                <w:rFonts w:ascii="Arial" w:eastAsia="Arial" w:hAnsi="Arial" w:cs="Arial"/>
                <w:sz w:val="21"/>
                <w:szCs w:val="21"/>
              </w:rPr>
            </w:pPr>
          </w:p>
        </w:tc>
      </w:tr>
      <w:tr w:rsidR="00ED4AC9" w14:paraId="069AFC9D" w14:textId="77777777">
        <w:tc>
          <w:tcPr>
            <w:tcW w:w="6799" w:type="dxa"/>
          </w:tcPr>
          <w:p w14:paraId="32F5EC29" w14:textId="77777777" w:rsidR="00ED4AC9" w:rsidRDefault="00623EE1">
            <w:pPr>
              <w:rPr>
                <w:rFonts w:ascii="Arial" w:eastAsia="Arial" w:hAnsi="Arial" w:cs="Arial"/>
                <w:sz w:val="21"/>
                <w:szCs w:val="21"/>
              </w:rPr>
            </w:pPr>
            <w:r>
              <w:rPr>
                <w:rFonts w:ascii="Arial" w:eastAsia="Arial" w:hAnsi="Arial" w:cs="Arial"/>
                <w:sz w:val="21"/>
                <w:szCs w:val="21"/>
              </w:rPr>
              <w:t>Design and implement</w:t>
            </w:r>
            <w:r w:rsidR="009B23F2">
              <w:rPr>
                <w:rFonts w:ascii="Arial" w:eastAsia="Arial" w:hAnsi="Arial" w:cs="Arial"/>
                <w:sz w:val="21"/>
                <w:szCs w:val="21"/>
              </w:rPr>
              <w:t xml:space="preserve"> capacity development </w:t>
            </w:r>
            <w:r>
              <w:rPr>
                <w:rFonts w:ascii="Arial" w:eastAsia="Arial" w:hAnsi="Arial" w:cs="Arial"/>
                <w:sz w:val="21"/>
                <w:szCs w:val="21"/>
              </w:rPr>
              <w:t>training</w:t>
            </w:r>
            <w:r w:rsidR="009B23F2">
              <w:rPr>
                <w:rFonts w:ascii="Arial" w:eastAsia="Arial" w:hAnsi="Arial" w:cs="Arial"/>
                <w:sz w:val="21"/>
                <w:szCs w:val="21"/>
              </w:rPr>
              <w:t>s</w:t>
            </w:r>
            <w:r>
              <w:rPr>
                <w:rFonts w:ascii="Arial" w:eastAsia="Arial" w:hAnsi="Arial" w:cs="Arial"/>
                <w:sz w:val="21"/>
                <w:szCs w:val="21"/>
              </w:rPr>
              <w:t xml:space="preserve"> on the NAP process on an ongoing basis at sectoral and subnational levels to facilitate adaptation planning.</w:t>
            </w:r>
          </w:p>
        </w:tc>
        <w:tc>
          <w:tcPr>
            <w:tcW w:w="1560" w:type="dxa"/>
            <w:vMerge/>
          </w:tcPr>
          <w:p w14:paraId="1F71B4BE" w14:textId="77777777" w:rsidR="00ED4AC9" w:rsidRDefault="00ED4AC9">
            <w:pPr>
              <w:widowControl w:val="0"/>
              <w:pBdr>
                <w:top w:val="nil"/>
                <w:left w:val="nil"/>
                <w:bottom w:val="nil"/>
                <w:right w:val="nil"/>
                <w:between w:val="nil"/>
              </w:pBdr>
              <w:spacing w:line="276" w:lineRule="auto"/>
              <w:rPr>
                <w:rFonts w:ascii="Arial" w:eastAsia="Arial" w:hAnsi="Arial" w:cs="Arial"/>
                <w:sz w:val="21"/>
                <w:szCs w:val="21"/>
              </w:rPr>
            </w:pPr>
          </w:p>
        </w:tc>
        <w:tc>
          <w:tcPr>
            <w:tcW w:w="708" w:type="dxa"/>
          </w:tcPr>
          <w:p w14:paraId="682F9A50" w14:textId="77777777" w:rsidR="005D156D" w:rsidRDefault="005D156D">
            <w:pPr>
              <w:rPr>
                <w:sz w:val="21"/>
                <w:szCs w:val="21"/>
              </w:rPr>
            </w:pPr>
          </w:p>
          <w:p w14:paraId="053FDF3C" w14:textId="77777777" w:rsidR="005D156D" w:rsidRPr="005D156D" w:rsidRDefault="005D156D" w:rsidP="005D156D">
            <w:pPr>
              <w:rPr>
                <w:sz w:val="21"/>
                <w:szCs w:val="21"/>
              </w:rPr>
            </w:pPr>
          </w:p>
          <w:p w14:paraId="7E63B10C" w14:textId="77777777" w:rsidR="00ED4AC9" w:rsidRPr="005D156D" w:rsidRDefault="00ED4AC9" w:rsidP="005D156D">
            <w:pPr>
              <w:rPr>
                <w:sz w:val="21"/>
                <w:szCs w:val="21"/>
              </w:rPr>
            </w:pPr>
          </w:p>
        </w:tc>
        <w:tc>
          <w:tcPr>
            <w:tcW w:w="4948" w:type="dxa"/>
          </w:tcPr>
          <w:p w14:paraId="518C18A9" w14:textId="77777777" w:rsidR="00ED4AC9" w:rsidRDefault="00ED4AC9">
            <w:pPr>
              <w:rPr>
                <w:sz w:val="21"/>
                <w:szCs w:val="21"/>
              </w:rPr>
            </w:pPr>
          </w:p>
        </w:tc>
      </w:tr>
      <w:tr w:rsidR="00ED4AC9" w14:paraId="7A44E2DE" w14:textId="77777777" w:rsidTr="009B23F2">
        <w:tc>
          <w:tcPr>
            <w:tcW w:w="14015" w:type="dxa"/>
            <w:gridSpan w:val="4"/>
            <w:shd w:val="clear" w:color="auto" w:fill="D6E3A5"/>
          </w:tcPr>
          <w:p w14:paraId="02D9D820" w14:textId="77777777" w:rsidR="00ED4AC9" w:rsidRDefault="00623EE1">
            <w:pPr>
              <w:rPr>
                <w:rFonts w:ascii="Arial" w:eastAsia="Arial" w:hAnsi="Arial" w:cs="Arial"/>
                <w:sz w:val="21"/>
                <w:szCs w:val="21"/>
              </w:rPr>
            </w:pPr>
            <w:r>
              <w:rPr>
                <w:rFonts w:ascii="Arial" w:eastAsia="Arial" w:hAnsi="Arial" w:cs="Arial"/>
                <w:b/>
                <w:sz w:val="21"/>
                <w:szCs w:val="21"/>
              </w:rPr>
              <w:lastRenderedPageBreak/>
              <w:t>Financing</w:t>
            </w:r>
          </w:p>
        </w:tc>
      </w:tr>
      <w:tr w:rsidR="00ED4AC9" w14:paraId="5E4DBDC9" w14:textId="77777777">
        <w:tc>
          <w:tcPr>
            <w:tcW w:w="6799" w:type="dxa"/>
          </w:tcPr>
          <w:p w14:paraId="3FC0550A" w14:textId="77777777" w:rsidR="00ED4AC9" w:rsidRDefault="00623EE1">
            <w:pPr>
              <w:rPr>
                <w:rFonts w:ascii="Arial" w:eastAsia="Arial" w:hAnsi="Arial" w:cs="Arial"/>
                <w:sz w:val="21"/>
                <w:szCs w:val="21"/>
              </w:rPr>
            </w:pPr>
            <w:bookmarkStart w:id="1" w:name="_heading=h.30j0zll" w:colFirst="0" w:colLast="0"/>
            <w:bookmarkEnd w:id="1"/>
            <w:r>
              <w:rPr>
                <w:rFonts w:ascii="Arial" w:eastAsia="Arial" w:hAnsi="Arial" w:cs="Arial"/>
                <w:sz w:val="21"/>
                <w:szCs w:val="21"/>
              </w:rPr>
              <w:t>Develop the financing strategy that clarifies steps and amount of required budgets to prepare and implement planned adaptation measures.</w:t>
            </w:r>
          </w:p>
        </w:tc>
        <w:tc>
          <w:tcPr>
            <w:tcW w:w="1560" w:type="dxa"/>
          </w:tcPr>
          <w:p w14:paraId="508B2AE3" w14:textId="77777777" w:rsidR="00ED4AC9" w:rsidRDefault="00623EE1">
            <w:pPr>
              <w:rPr>
                <w:rFonts w:ascii="Arial" w:eastAsia="Arial" w:hAnsi="Arial" w:cs="Arial"/>
                <w:sz w:val="21"/>
                <w:szCs w:val="21"/>
              </w:rPr>
            </w:pPr>
            <w:r>
              <w:rPr>
                <w:rFonts w:ascii="Arial" w:eastAsia="Arial" w:hAnsi="Arial" w:cs="Arial"/>
                <w:sz w:val="21"/>
                <w:szCs w:val="21"/>
              </w:rPr>
              <w:t>NAP Taskforce</w:t>
            </w:r>
          </w:p>
        </w:tc>
        <w:tc>
          <w:tcPr>
            <w:tcW w:w="708" w:type="dxa"/>
          </w:tcPr>
          <w:p w14:paraId="05F92088" w14:textId="77777777" w:rsidR="00ED4AC9" w:rsidRDefault="00ED4AC9">
            <w:pPr>
              <w:rPr>
                <w:sz w:val="21"/>
                <w:szCs w:val="21"/>
              </w:rPr>
            </w:pPr>
          </w:p>
        </w:tc>
        <w:tc>
          <w:tcPr>
            <w:tcW w:w="4948" w:type="dxa"/>
          </w:tcPr>
          <w:p w14:paraId="4161C19F" w14:textId="77777777" w:rsidR="00ED4AC9" w:rsidRDefault="00ED4AC9">
            <w:pPr>
              <w:rPr>
                <w:sz w:val="21"/>
                <w:szCs w:val="21"/>
              </w:rPr>
            </w:pPr>
          </w:p>
        </w:tc>
      </w:tr>
      <w:tr w:rsidR="00ED4AC9" w14:paraId="3E86EC93" w14:textId="77777777">
        <w:tc>
          <w:tcPr>
            <w:tcW w:w="6799" w:type="dxa"/>
          </w:tcPr>
          <w:p w14:paraId="6776BDBB" w14:textId="77777777" w:rsidR="00ED4AC9" w:rsidRDefault="00623EE1">
            <w:pPr>
              <w:rPr>
                <w:rFonts w:ascii="Arial" w:eastAsia="Arial" w:hAnsi="Arial" w:cs="Arial"/>
                <w:sz w:val="21"/>
                <w:szCs w:val="21"/>
              </w:rPr>
            </w:pPr>
            <w:bookmarkStart w:id="2" w:name="_heading=h.ysbvauyd1mqq" w:colFirst="0" w:colLast="0"/>
            <w:bookmarkEnd w:id="2"/>
            <w:r>
              <w:rPr>
                <w:rFonts w:ascii="Arial" w:eastAsia="Arial" w:hAnsi="Arial" w:cs="Arial"/>
                <w:sz w:val="21"/>
                <w:szCs w:val="21"/>
              </w:rPr>
              <w:t>Define a portfolio to proceed each phase</w:t>
            </w:r>
            <w:r w:rsidRPr="009B23F2">
              <w:rPr>
                <w:rFonts w:ascii="Arial" w:eastAsia="Arial" w:hAnsi="Arial" w:cs="Arial"/>
                <w:sz w:val="21"/>
                <w:szCs w:val="21"/>
              </w:rPr>
              <w:t>.</w:t>
            </w:r>
            <w:r w:rsidR="009B23F2" w:rsidRPr="009B23F2">
              <w:rPr>
                <w:rFonts w:ascii="Arial" w:eastAsia="Arial" w:hAnsi="Arial" w:cs="Arial"/>
                <w:sz w:val="21"/>
                <w:szCs w:val="21"/>
              </w:rPr>
              <w:t xml:space="preserve"> </w:t>
            </w:r>
            <w:r w:rsidR="009B23F2" w:rsidRPr="009B23F2">
              <w:rPr>
                <w:rFonts w:ascii="Arial" w:eastAsiaTheme="minorEastAsia" w:hAnsi="Arial" w:cs="Arial"/>
                <w:sz w:val="21"/>
                <w:szCs w:val="21"/>
              </w:rPr>
              <w:t>That</w:t>
            </w:r>
            <w:r w:rsidRPr="009B23F2">
              <w:rPr>
                <w:rFonts w:ascii="Arial" w:eastAsia="Arial" w:hAnsi="Arial" w:cs="Arial"/>
                <w:sz w:val="21"/>
                <w:szCs w:val="21"/>
              </w:rPr>
              <w:t xml:space="preserve"> en</w:t>
            </w:r>
            <w:r>
              <w:rPr>
                <w:rFonts w:ascii="Arial" w:eastAsia="Arial" w:hAnsi="Arial" w:cs="Arial"/>
                <w:sz w:val="21"/>
                <w:szCs w:val="21"/>
              </w:rPr>
              <w:t xml:space="preserve">tails arranging domestic budgets and identifying lack of financial resources. </w:t>
            </w:r>
          </w:p>
        </w:tc>
        <w:tc>
          <w:tcPr>
            <w:tcW w:w="1560" w:type="dxa"/>
          </w:tcPr>
          <w:p w14:paraId="5159967C" w14:textId="77777777" w:rsidR="00ED4AC9" w:rsidRDefault="00623EE1">
            <w:pPr>
              <w:rPr>
                <w:rFonts w:ascii="Arial" w:eastAsia="Arial" w:hAnsi="Arial" w:cs="Arial"/>
                <w:sz w:val="21"/>
                <w:szCs w:val="21"/>
              </w:rPr>
            </w:pPr>
            <w:r>
              <w:rPr>
                <w:rFonts w:ascii="Arial" w:eastAsia="Arial" w:hAnsi="Arial" w:cs="Arial"/>
                <w:sz w:val="21"/>
                <w:szCs w:val="21"/>
              </w:rPr>
              <w:t xml:space="preserve">Financial Authority </w:t>
            </w:r>
          </w:p>
        </w:tc>
        <w:tc>
          <w:tcPr>
            <w:tcW w:w="708" w:type="dxa"/>
          </w:tcPr>
          <w:p w14:paraId="74EEEDEF" w14:textId="77777777" w:rsidR="00ED4AC9" w:rsidRDefault="00ED4AC9">
            <w:pPr>
              <w:rPr>
                <w:sz w:val="21"/>
                <w:szCs w:val="21"/>
              </w:rPr>
            </w:pPr>
          </w:p>
        </w:tc>
        <w:tc>
          <w:tcPr>
            <w:tcW w:w="4948" w:type="dxa"/>
          </w:tcPr>
          <w:p w14:paraId="0D2AD054" w14:textId="77777777" w:rsidR="00ED4AC9" w:rsidRDefault="00ED4AC9">
            <w:pPr>
              <w:rPr>
                <w:sz w:val="21"/>
                <w:szCs w:val="21"/>
              </w:rPr>
            </w:pPr>
          </w:p>
        </w:tc>
      </w:tr>
      <w:tr w:rsidR="00ED4AC9" w14:paraId="13FF1DF4" w14:textId="77777777">
        <w:tc>
          <w:tcPr>
            <w:tcW w:w="6799" w:type="dxa"/>
          </w:tcPr>
          <w:p w14:paraId="592E96DF" w14:textId="77777777" w:rsidR="00ED4AC9" w:rsidRDefault="00623EE1">
            <w:pPr>
              <w:rPr>
                <w:rFonts w:ascii="Arial" w:eastAsia="Arial" w:hAnsi="Arial" w:cs="Arial"/>
                <w:sz w:val="21"/>
                <w:szCs w:val="21"/>
              </w:rPr>
            </w:pPr>
            <w:bookmarkStart w:id="3" w:name="_heading=h.86rngwbf8t5l" w:colFirst="0" w:colLast="0"/>
            <w:bookmarkEnd w:id="3"/>
            <w:r>
              <w:rPr>
                <w:rFonts w:ascii="Arial" w:eastAsia="Arial" w:hAnsi="Arial" w:cs="Arial"/>
                <w:sz w:val="21"/>
                <w:szCs w:val="21"/>
              </w:rPr>
              <w:t xml:space="preserve">Explore additional funding opportunities from external resources such as multilateral and private funds. Fundraising processes may include feasibility study, proposal development and submission. </w:t>
            </w:r>
          </w:p>
        </w:tc>
        <w:tc>
          <w:tcPr>
            <w:tcW w:w="1560" w:type="dxa"/>
          </w:tcPr>
          <w:p w14:paraId="6B5ED030" w14:textId="77777777" w:rsidR="00ED4AC9" w:rsidRDefault="00623EE1">
            <w:pPr>
              <w:rPr>
                <w:sz w:val="21"/>
                <w:szCs w:val="21"/>
              </w:rPr>
            </w:pPr>
            <w:r>
              <w:rPr>
                <w:rFonts w:ascii="Arial" w:eastAsia="Arial" w:hAnsi="Arial" w:cs="Arial"/>
                <w:sz w:val="21"/>
                <w:szCs w:val="21"/>
              </w:rPr>
              <w:t>NAP Taskforce</w:t>
            </w:r>
          </w:p>
        </w:tc>
        <w:tc>
          <w:tcPr>
            <w:tcW w:w="708" w:type="dxa"/>
          </w:tcPr>
          <w:p w14:paraId="2F659FD9" w14:textId="77777777" w:rsidR="00ED4AC9" w:rsidRDefault="00ED4AC9">
            <w:pPr>
              <w:rPr>
                <w:sz w:val="21"/>
                <w:szCs w:val="21"/>
              </w:rPr>
            </w:pPr>
          </w:p>
        </w:tc>
        <w:tc>
          <w:tcPr>
            <w:tcW w:w="4948" w:type="dxa"/>
          </w:tcPr>
          <w:p w14:paraId="68B21C93" w14:textId="77777777" w:rsidR="00ED4AC9" w:rsidRDefault="00ED4AC9">
            <w:pPr>
              <w:rPr>
                <w:sz w:val="21"/>
                <w:szCs w:val="21"/>
              </w:rPr>
            </w:pPr>
          </w:p>
        </w:tc>
      </w:tr>
    </w:tbl>
    <w:p w14:paraId="3D2CD85B" w14:textId="77777777" w:rsidR="00ED4AC9" w:rsidRDefault="00ED4AC9">
      <w:pPr>
        <w:spacing w:before="240" w:after="240"/>
        <w:rPr>
          <w:b/>
          <w:u w:val="single"/>
        </w:rPr>
      </w:pPr>
      <w:bookmarkStart w:id="4" w:name="_heading=h.1fob9te" w:colFirst="0" w:colLast="0"/>
      <w:bookmarkEnd w:id="4"/>
    </w:p>
    <w:p w14:paraId="7C74F62B" w14:textId="77777777" w:rsidR="009B23F2" w:rsidRDefault="009B23F2">
      <w:pPr>
        <w:spacing w:before="240" w:after="240"/>
        <w:rPr>
          <w:b/>
          <w:u w:val="single"/>
        </w:rPr>
      </w:pPr>
    </w:p>
    <w:p w14:paraId="2E14CB08" w14:textId="77777777" w:rsidR="009B23F2" w:rsidRPr="00B442E7" w:rsidRDefault="009B23F2" w:rsidP="009B23F2">
      <w:pPr>
        <w:spacing w:before="240" w:after="240"/>
        <w:rPr>
          <w:sz w:val="20"/>
          <w:szCs w:val="20"/>
        </w:rPr>
      </w:pPr>
      <w:r w:rsidRPr="00B442E7">
        <w:rPr>
          <w:sz w:val="20"/>
          <w:szCs w:val="20"/>
        </w:rPr>
        <w:t xml:space="preserve">*This checklist </w:t>
      </w:r>
      <w:r>
        <w:rPr>
          <w:sz w:val="20"/>
          <w:szCs w:val="20"/>
        </w:rPr>
        <w:t>is</w:t>
      </w:r>
      <w:r w:rsidRPr="00B442E7">
        <w:rPr>
          <w:sz w:val="20"/>
          <w:szCs w:val="20"/>
        </w:rPr>
        <w:t xml:space="preserve"> developed by AP-PLAT with reference to the following:</w:t>
      </w:r>
    </w:p>
    <w:p w14:paraId="6EBDABAC" w14:textId="77777777" w:rsidR="009B23F2" w:rsidRPr="00B442E7" w:rsidRDefault="009B23F2" w:rsidP="009B23F2">
      <w:pPr>
        <w:spacing w:before="240" w:after="240"/>
        <w:rPr>
          <w:sz w:val="20"/>
          <w:szCs w:val="20"/>
        </w:rPr>
      </w:pPr>
      <w:r w:rsidRPr="00B442E7">
        <w:rPr>
          <w:color w:val="000000"/>
          <w:sz w:val="20"/>
          <w:szCs w:val="20"/>
        </w:rPr>
        <w:t xml:space="preserve">Least Developed Countries Expert Group. 2012. </w:t>
      </w:r>
      <w:r w:rsidRPr="00F74F53">
        <w:rPr>
          <w:sz w:val="20"/>
          <w:szCs w:val="20"/>
        </w:rPr>
        <w:t>National Adaptation Plans. Technical guidelines for the national adaptation plan process</w:t>
      </w:r>
      <w:r w:rsidRPr="00B442E7">
        <w:rPr>
          <w:color w:val="000000"/>
          <w:sz w:val="20"/>
          <w:szCs w:val="20"/>
        </w:rPr>
        <w:t>. Bonn: UNFCCC secretariat. Bonn, Germany. December 2012.</w:t>
      </w:r>
      <w:r>
        <w:rPr>
          <w:color w:val="000000"/>
          <w:sz w:val="20"/>
          <w:szCs w:val="20"/>
        </w:rPr>
        <w:t xml:space="preserve"> Available at: </w:t>
      </w:r>
      <w:hyperlink r:id="rId8" w:history="1">
        <w:r w:rsidRPr="003D1368">
          <w:rPr>
            <w:rStyle w:val="afc"/>
            <w:sz w:val="20"/>
            <w:szCs w:val="20"/>
          </w:rPr>
          <w:t>https://unfccc.int/topics/adaptation-and-resilience/workstreams/national-adaptation-plans-naps/guidelines-for-national-adaptation-plans-naps</w:t>
        </w:r>
      </w:hyperlink>
      <w:r>
        <w:rPr>
          <w:color w:val="000000"/>
          <w:sz w:val="20"/>
          <w:szCs w:val="20"/>
        </w:rPr>
        <w:t xml:space="preserve"> </w:t>
      </w:r>
    </w:p>
    <w:p w14:paraId="7D6FE768" w14:textId="77777777" w:rsidR="009B23F2" w:rsidRPr="009B23F2" w:rsidRDefault="009B23F2">
      <w:pPr>
        <w:spacing w:before="240" w:after="240"/>
        <w:rPr>
          <w:b/>
          <w:u w:val="single"/>
        </w:rPr>
      </w:pPr>
    </w:p>
    <w:sectPr w:rsidR="009B23F2" w:rsidRPr="009B23F2">
      <w:headerReference w:type="default" r:id="rId9"/>
      <w:footerReference w:type="default" r:id="rId10"/>
      <w:pgSz w:w="16834" w:h="1190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5C643" w14:textId="77777777" w:rsidR="00100E19" w:rsidRDefault="00100E19">
      <w:pPr>
        <w:spacing w:line="240" w:lineRule="auto"/>
      </w:pPr>
      <w:r>
        <w:separator/>
      </w:r>
    </w:p>
  </w:endnote>
  <w:endnote w:type="continuationSeparator" w:id="0">
    <w:p w14:paraId="6819D9FD" w14:textId="77777777" w:rsidR="00100E19" w:rsidRDefault="00100E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544E9" w14:textId="77777777" w:rsidR="00ED4AC9" w:rsidRDefault="00623EE1">
    <w:pPr>
      <w:jc w:val="center"/>
    </w:pPr>
    <w:r>
      <w:t>Check list for “Adaptation Plan Development Process”</w:t>
    </w:r>
  </w:p>
  <w:p w14:paraId="54416FF1" w14:textId="77777777" w:rsidR="00ED4AC9" w:rsidRDefault="00623EE1">
    <w:pPr>
      <w:pBdr>
        <w:top w:val="nil"/>
        <w:left w:val="nil"/>
        <w:bottom w:val="nil"/>
        <w:right w:val="nil"/>
        <w:between w:val="nil"/>
      </w:pBdr>
      <w:ind w:left="360"/>
      <w:jc w:val="center"/>
      <w:rPr>
        <w:color w:val="000000"/>
      </w:rPr>
    </w:pPr>
    <w:r>
      <w:rPr>
        <w:rFonts w:eastAsia="Arial"/>
        <w:color w:val="000000"/>
      </w:rPr>
      <w:t>4.</w:t>
    </w:r>
    <w:r>
      <w:rPr>
        <w:rFonts w:eastAsia="Arial"/>
        <w:color w:val="000000"/>
      </w:rPr>
      <w:tab/>
      <w:t>Implementation of adaptation measures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5DD01" w14:textId="77777777" w:rsidR="00100E19" w:rsidRDefault="00100E19">
      <w:pPr>
        <w:spacing w:line="240" w:lineRule="auto"/>
      </w:pPr>
      <w:r>
        <w:separator/>
      </w:r>
    </w:p>
  </w:footnote>
  <w:footnote w:type="continuationSeparator" w:id="0">
    <w:p w14:paraId="04E0A0F0" w14:textId="77777777" w:rsidR="00100E19" w:rsidRDefault="00100E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762BB" w14:textId="77777777" w:rsidR="00ED4AC9" w:rsidRDefault="00623EE1">
    <w:pPr>
      <w:pBdr>
        <w:top w:val="nil"/>
        <w:left w:val="nil"/>
        <w:bottom w:val="nil"/>
        <w:right w:val="nil"/>
        <w:between w:val="nil"/>
      </w:pBdr>
      <w:tabs>
        <w:tab w:val="center" w:pos="4252"/>
        <w:tab w:val="right" w:pos="8504"/>
      </w:tabs>
      <w:jc w:val="center"/>
      <w:rPr>
        <w:color w:val="000000"/>
      </w:rPr>
    </w:pPr>
    <w:r>
      <w:rPr>
        <w:noProof/>
        <w:color w:val="000000"/>
      </w:rPr>
      <w:drawing>
        <wp:inline distT="0" distB="0" distL="0" distR="0" wp14:anchorId="47CDBEFB" wp14:editId="3B2487BD">
          <wp:extent cx="1915331" cy="44526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15331" cy="44526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174455"/>
    <w:multiLevelType w:val="multilevel"/>
    <w:tmpl w:val="6AC47E42"/>
    <w:lvl w:ilvl="0">
      <w:start w:val="4"/>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AC9"/>
    <w:rsid w:val="00100E19"/>
    <w:rsid w:val="005D156D"/>
    <w:rsid w:val="00623EE1"/>
    <w:rsid w:val="007454F7"/>
    <w:rsid w:val="00841B38"/>
    <w:rsid w:val="009B23F2"/>
    <w:rsid w:val="00ED4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277B2E"/>
  <w15:docId w15:val="{980DFB81-6637-4915-B682-0E900404F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tblPr>
      <w:tblStyleRowBandSize w:val="1"/>
      <w:tblStyleColBandSize w:val="1"/>
      <w:tblCellMar>
        <w:top w:w="100" w:type="dxa"/>
        <w:left w:w="100" w:type="dxa"/>
        <w:bottom w:w="100" w:type="dxa"/>
        <w:right w:w="100"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paragraph" w:styleId="af1">
    <w:name w:val="annotation text"/>
    <w:basedOn w:val="a"/>
    <w:link w:val="10"/>
    <w:uiPriority w:val="99"/>
    <w:semiHidden/>
    <w:unhideWhenUsed/>
    <w:pPr>
      <w:spacing w:line="240" w:lineRule="auto"/>
    </w:pPr>
    <w:rPr>
      <w:sz w:val="20"/>
      <w:szCs w:val="20"/>
    </w:rPr>
  </w:style>
  <w:style w:type="character" w:customStyle="1" w:styleId="af2">
    <w:name w:val="コメント文字列 (文字)"/>
    <w:basedOn w:val="a0"/>
    <w:uiPriority w:val="99"/>
    <w:semiHidden/>
  </w:style>
  <w:style w:type="character" w:styleId="af3">
    <w:name w:val="annotation reference"/>
    <w:uiPriority w:val="99"/>
    <w:semiHidden/>
    <w:unhideWhenUsed/>
    <w:rPr>
      <w:sz w:val="16"/>
      <w:szCs w:val="16"/>
    </w:rPr>
  </w:style>
  <w:style w:type="paragraph" w:styleId="af4">
    <w:name w:val="Balloon Text"/>
    <w:basedOn w:val="a"/>
    <w:link w:val="af5"/>
    <w:uiPriority w:val="99"/>
    <w:semiHidden/>
    <w:unhideWhenUsed/>
    <w:rsid w:val="00D43B79"/>
    <w:pPr>
      <w:spacing w:line="240" w:lineRule="auto"/>
    </w:pPr>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D43B79"/>
    <w:rPr>
      <w:rFonts w:asciiTheme="majorHAnsi" w:eastAsiaTheme="majorEastAsia" w:hAnsiTheme="majorHAnsi" w:cstheme="majorBidi"/>
      <w:sz w:val="18"/>
      <w:szCs w:val="18"/>
    </w:rPr>
  </w:style>
  <w:style w:type="paragraph" w:styleId="af6">
    <w:name w:val="header"/>
    <w:basedOn w:val="a"/>
    <w:link w:val="af7"/>
    <w:uiPriority w:val="99"/>
    <w:unhideWhenUsed/>
    <w:rsid w:val="005F5390"/>
    <w:pPr>
      <w:tabs>
        <w:tab w:val="center" w:pos="4252"/>
        <w:tab w:val="right" w:pos="8504"/>
      </w:tabs>
      <w:snapToGrid w:val="0"/>
    </w:pPr>
  </w:style>
  <w:style w:type="character" w:customStyle="1" w:styleId="af7">
    <w:name w:val="ヘッダー (文字)"/>
    <w:basedOn w:val="a0"/>
    <w:link w:val="af6"/>
    <w:uiPriority w:val="99"/>
    <w:rsid w:val="005F5390"/>
  </w:style>
  <w:style w:type="paragraph" w:styleId="af8">
    <w:name w:val="footer"/>
    <w:basedOn w:val="a"/>
    <w:link w:val="af9"/>
    <w:uiPriority w:val="99"/>
    <w:unhideWhenUsed/>
    <w:rsid w:val="005F5390"/>
    <w:pPr>
      <w:tabs>
        <w:tab w:val="center" w:pos="4252"/>
        <w:tab w:val="right" w:pos="8504"/>
      </w:tabs>
      <w:snapToGrid w:val="0"/>
    </w:pPr>
  </w:style>
  <w:style w:type="character" w:customStyle="1" w:styleId="af9">
    <w:name w:val="フッター (文字)"/>
    <w:basedOn w:val="a0"/>
    <w:link w:val="af8"/>
    <w:uiPriority w:val="99"/>
    <w:rsid w:val="005F5390"/>
  </w:style>
  <w:style w:type="paragraph" w:styleId="afa">
    <w:name w:val="List Paragraph"/>
    <w:basedOn w:val="a"/>
    <w:uiPriority w:val="34"/>
    <w:qFormat/>
    <w:rsid w:val="006F2F66"/>
    <w:pPr>
      <w:ind w:leftChars="400" w:left="840"/>
    </w:pPr>
  </w:style>
  <w:style w:type="table" w:styleId="afb">
    <w:name w:val="Table Grid"/>
    <w:basedOn w:val="a1"/>
    <w:rsid w:val="006C33CA"/>
    <w:pPr>
      <w:spacing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basedOn w:val="a0"/>
    <w:uiPriority w:val="99"/>
    <w:unhideWhenUsed/>
    <w:rsid w:val="00CD4A6D"/>
    <w:rPr>
      <w:color w:val="0000FF" w:themeColor="hyperlink"/>
      <w:u w:val="single"/>
    </w:rPr>
  </w:style>
  <w:style w:type="character" w:styleId="afd">
    <w:name w:val="Unresolved Mention"/>
    <w:basedOn w:val="a0"/>
    <w:uiPriority w:val="99"/>
    <w:semiHidden/>
    <w:unhideWhenUsed/>
    <w:rsid w:val="00CD4A6D"/>
    <w:rPr>
      <w:color w:val="605E5C"/>
      <w:shd w:val="clear" w:color="auto" w:fill="E1DFDD"/>
    </w:rPr>
  </w:style>
  <w:style w:type="table" w:customStyle="1" w:styleId="afe">
    <w:basedOn w:val="TableNormal0"/>
    <w:pPr>
      <w:spacing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styleId="aff">
    <w:name w:val="annotation subject"/>
    <w:basedOn w:val="af1"/>
    <w:next w:val="af1"/>
    <w:link w:val="aff0"/>
    <w:uiPriority w:val="99"/>
    <w:semiHidden/>
    <w:unhideWhenUsed/>
    <w:rPr>
      <w:b/>
      <w:bCs/>
    </w:rPr>
  </w:style>
  <w:style w:type="character" w:customStyle="1" w:styleId="aff0">
    <w:name w:val="コメント内容 (文字)"/>
    <w:basedOn w:val="10"/>
    <w:link w:val="aff"/>
    <w:uiPriority w:val="99"/>
    <w:semiHidden/>
    <w:rPr>
      <w:b/>
      <w:bCs/>
      <w:sz w:val="20"/>
      <w:szCs w:val="20"/>
    </w:rPr>
  </w:style>
  <w:style w:type="character" w:customStyle="1" w:styleId="10">
    <w:name w:val="コメント文字列 (文字)1"/>
    <w:link w:val="af1"/>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unfccc.int/topics/adaptation-and-resilience/workstreams/national-adaptation-plans-naps/guidelines-for-national-adaptation-plans-nap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i4W4vfNk9STKg+YJrwE6Pc9Mj7pQ==">AMUW2mXAQOXKmqFqxs4VeWkLVmtDl8v+mItcocEGi+mN8LQWpo+hwdeeplZNw5ullSv2gQvxr5zP80iGpTBVXRg85XUfKY1oGsHSM8AuyPIBRuj/TP9Y2TiiQms79+pDBtzNNgbo34lJr6R3ad/+cWYMjGyQaVImRqMvJwFdWh7hL7L2AvEyS25A4IIjP7eAzRnCzaATt4tR5lHSbheOUgrQsO3bDvD6Up8RCSh6/50CL6JGSITidig1cgshpaNEbt4CaB6CSDwnbrPixgrWtUcaJfXl00s2gSgNKLB4OhOCbSnZSnZoR6X0zTbAnS/+fn6dXYvlsbajyBfGjQlXH1XLpnkTuTafG25NWaOam8v+mGMwrXRQeUfvq+mi8rrkiOHJR1r5LXZw/jTPAogpqhHzwF5kSgE9fSLfQwQOaTiQYBmQp0y0j88GzuRX0Y/ifZ+wngKeAsXtffdZ+frDenpv4Dx9kJJ9eixR2G5DLhMhobR9WqoEHZRuaN2Apsth+8tnQ+TAligXN9ViNpmXIW6PShv4gK68L8LhRgHTU25CYoPWQeitXEhmQJU7DeoJ5FlyYvzIDT3qd7DBRst894sQI/2anrDJUmC4ERPzvL1XB4vSSLU7kjqhpXSERftc0FeKsKgMhYUTSoFeLADiVTgIAax7Zj/tae/1X0M3Kz9ckktuEpMDWMYSDSEsWikcoijKYxoFhxhkmTOeMtxm58kF/J7HOS67CCTPjBYXeACNiuJhBriZGW0r/uqnrIZZ+cKrJpaWyiWacJao377mLmch0bq46LlKn+E2zNoJWajmks5g93zD13ZCIxDV5F2lkPWx+iQwetDjBzvunVEUaud74Payk2SoQu0KLuD3LPteOBk/fxwgw3a/mWNpSw3jULdZM7IBXQBOl+HaIvYBUQOUPud1R4A0eqMJdS/kXPydj6+C11AZWTB+x8+WIkP2ZIQUV+htlmEZAsbnDV2GKUWiezACGSoZp8aEA/nNerXX80ecFK/n1kyEXhLN+HEyxUm4wNf7INIGIXb5BYRkLHeEQckPw5BnXiVf6B+0fqGTzi0038QcfgwEpFfDtX+TZCkcJgS3fLXCPM1haaHTaGmm0NJ6Jm2C/1r5X87LNbYd8IHMIjorjKmygAbJ6CCn6bCQ90krhU7ojIUQP1Zx5s8IVCHt1QpThfaT02HPqJ23WG6SN1xk4HMGo1CQEIWSMnxDgxFzTJBUg6xvE/8XTD6ZBrY6KxVweF0vmJNsY9kmfFWo+oZl2JDmi0LI4Vq8Z8aU9GWiGaljfJ2eOJtZjB+oEmcAWB9A5/eSeo8NIs2ZhFv5+yJAs5U0vEoFkiC60DBKvKNXKAhN5uZP64asije56CuAfFu5Z/bYmE57hmBrRLfbdVDntQIse3Gd1Bq59D2D1BR1SuTVE3FjgbaJWy1D0DO4pspT1Fd4uSa5brUNClZTR665FSAbJBxGlLLoSxnX9jKao4vvfBGPDk7RvmDk5CyHNYqXhly1KDAhWvRwA+crroH0eZfrZq+HERqEas58C06h5IG/8wRt7kVKlBA/NSaUixFKamN9Sf1UvBt3i3yj0ZTRr9T4uzM6LVjWX57R0pfBoKKVB2aHU2mRaRsunAZXWuadKv75RVv83IP9Un1TYw7EmWyglnfcrrQ+GqsvUkzt4IYmKmtc/ltRcxSd01th8SFEfTr2y0HVxcDo40CKBBZLW77ROZ2pr3bw/TxzebQNJ4JWAkn9GiBbOsd2MTopb5qnCCUTJmsOwlBg4wD7FvWn9wVC0REKAhz507sAmAe31skhfNZ4PKwURV6LX6+RpGHhOESY0AHigUiN8yClnZ3M9O09b8tzXBlgZIlyRKZYvRGXM38AIn0xXHa0ptlCUeiBo38G5BEwCV0g7uySy5jpQp6jjeoaRGsq4ZkCrL+cUyvXH8nJBVce0rsBMi/qyipB043gnOJGv8MQ3hOBlfXFI2mibYuphP18dYgNlzuh9j2rSOnDW8k6/Y3RHVRljF9aOP4V1C6zdmDGil2388myTjxU+VJbmEgZFJk/oI30Qa5+Dbs5JgE4bZxn1wel+EvhdJRPJtGXfED9DtG9ESmsPQd3qDIeP9ebxupym9ImmtqaW8ymEsHghMqd2vGWy2dVayA7cWnWcLgZAFFUOyPbRPJ8BWNhShwNOvhdV0wMFBY7SllhG7b/X0gcKrFvsx2dk9RNxNP+TBEod0yclLmK0/+a35gPqMoot2ik0RqaA+IlG8oI3UspEni+xOH/7zwpIr67dXpGr2fDfkJ9YwLW3gUPBBG2PHbyOpipPRuf/1UEp2wflxF5Bb53wUL7iSgn9i6w2Ikair+u+NbVCMRdCtHbSlmeAj8PuVWPh2MKFKP0tKCEdEk2yeoB37vcdVSIH0DeIqqDfsfSTLoHxjnyKGRJI+yg2IAUO8UjUo9pNiyRFjSLxMC3iuu11sM64GrjG7G0Gm2NBU5J03fJFYNS3GF8rgswCSX3oIwfgv7hN4brqV2V3opmiZcRf2qJqHCterrGN0wSvpC7l1e/neDeX13Hc/SdNPmEgVZRDnIpsl7WQQb4VNJALN1ZK9REoy0NSNCQrc9Ou3XRS4PcRfAy/55TPFnmlqeN9WWqDcnYRrh+/+YQTV9qsMU1e6RJC6w6DO1/NjknmUmmV3TsrILtRkeAIFxG9/E4IUgsQPlDgiEhmdxSlaTVSxKFvUKvY5wmyj2g6ty1TYC3v3VJQYFd0AxnIDHBnMDrHc9x1KeT9p40YCfe3vm4qIoOw9DfPB9IyQtSygGlIjmubhwdyiHMGKv83gm01D/Qd+VoykOu+YAy5dl9a6MokWIIHj/Z8HopNXVPuflEmYyl9JWWxDt7Ob8jCw08uH4gKgJAtJ+jOiHF8K2S2YGmKpXuEwxW4HuVEqzE5kHt71kQrZuciHJP0IuNUXZU4jtYCa3nUJVDL2S8asomj2/3Mlr8uGtgneu3+Fke7WUkmW2YhvC8Ye6yGUdgbfPnFGU8ZesST8vYSvDSGPikQsKHdLPtjkmHWhbT/06gSZNa6048O/cAGNOYqpIhORqekhymaV85NVRBYqirg2cEThOATRYJIoxGyGR0ti/UnZnyVOF0059RW4q2Iye4mcQftyfGRbOmsrYOFzDrYHTRuiOJpk0i0ngtFDA9N5S6QPm+FikLrXWj1qXcBUSwxNIN8oK70oWwjIKoLLhx61G68fzgqPLO/QKhbFltV6jBTAwU11BRxiPjxesWUsTRUayHId6wOmmePHZDcVGQkxWuOFIuQOXZSxGNXroNy54H0I0PI4At2VZai2h1YefYL17Djhy1gs2qsMTdbpPGILGdkP+JGCwFgBvfA2a8p0qpNRYNWv7IksRiEzdF5iooVYm3DeoHdUogTSuaRuNurtsdE8WRxHIIngZeJqq66BvkadNsB7NvKGlQhl/fv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309</Words>
  <Characters>1767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AP-PLAT</cp:lastModifiedBy>
  <cp:revision>4</cp:revision>
  <dcterms:created xsi:type="dcterms:W3CDTF">2021-12-17T02:52:00Z</dcterms:created>
  <dcterms:modified xsi:type="dcterms:W3CDTF">2022-11-04T09:28:00Z</dcterms:modified>
</cp:coreProperties>
</file>