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914" w:rsidRDefault="008A6C39">
      <w:pPr>
        <w:spacing w:before="240" w:after="240"/>
        <w:jc w:val="center"/>
        <w:rPr>
          <w:b/>
          <w:sz w:val="28"/>
          <w:szCs w:val="28"/>
        </w:rPr>
      </w:pPr>
      <w:r>
        <w:rPr>
          <w:b/>
          <w:sz w:val="28"/>
          <w:szCs w:val="28"/>
        </w:rPr>
        <w:t>Check list for “Adaptation Plan Development Process”</w:t>
      </w:r>
    </w:p>
    <w:p w:rsidR="004D5914" w:rsidRDefault="008A6C39">
      <w:pPr>
        <w:numPr>
          <w:ilvl w:val="0"/>
          <w:numId w:val="1"/>
        </w:numPr>
        <w:pBdr>
          <w:top w:val="nil"/>
          <w:left w:val="nil"/>
          <w:bottom w:val="nil"/>
          <w:right w:val="nil"/>
          <w:between w:val="nil"/>
        </w:pBdr>
        <w:spacing w:before="240" w:after="240"/>
        <w:jc w:val="center"/>
        <w:rPr>
          <w:b/>
          <w:color w:val="000000"/>
          <w:sz w:val="28"/>
          <w:szCs w:val="28"/>
        </w:rPr>
      </w:pPr>
      <w:bookmarkStart w:id="0" w:name="_heading=h.gjdgxs" w:colFirst="0" w:colLast="0"/>
      <w:bookmarkEnd w:id="0"/>
      <w:r>
        <w:rPr>
          <w:rFonts w:eastAsia="Arial"/>
          <w:b/>
          <w:color w:val="000000"/>
          <w:sz w:val="28"/>
          <w:szCs w:val="28"/>
        </w:rPr>
        <w:t xml:space="preserve">Monitoring and </w:t>
      </w:r>
      <w:sdt>
        <w:sdtPr>
          <w:tag w:val="goog_rdk_0"/>
          <w:id w:val="802506388"/>
        </w:sdtPr>
        <w:sdtEndPr/>
        <w:sdtContent/>
      </w:sdt>
      <w:r>
        <w:rPr>
          <w:rFonts w:eastAsia="Arial"/>
          <w:b/>
          <w:color w:val="000000"/>
          <w:sz w:val="28"/>
          <w:szCs w:val="28"/>
        </w:rPr>
        <w:t>evaluation</w:t>
      </w:r>
    </w:p>
    <w:p w:rsidR="004514C6" w:rsidRDefault="004514C6" w:rsidP="004514C6">
      <w:pPr>
        <w:spacing w:before="240" w:after="240"/>
        <w:jc w:val="both"/>
      </w:pPr>
      <w:r>
        <w:rPr>
          <w:noProof/>
        </w:rPr>
        <mc:AlternateContent>
          <mc:Choice Requires="wps">
            <w:drawing>
              <wp:anchor distT="45720" distB="45720" distL="114300" distR="114300" simplePos="0" relativeHeight="251659264" behindDoc="0" locked="0" layoutInCell="1" allowOverlap="1" wp14:anchorId="5FD0DDC2" wp14:editId="231DFB8C">
                <wp:simplePos x="0" y="0"/>
                <wp:positionH relativeFrom="margin">
                  <wp:align>left</wp:align>
                </wp:positionH>
                <wp:positionV relativeFrom="paragraph">
                  <wp:posOffset>739775</wp:posOffset>
                </wp:positionV>
                <wp:extent cx="8839200" cy="11049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104900"/>
                        </a:xfrm>
                        <a:prstGeom prst="rect">
                          <a:avLst/>
                        </a:prstGeom>
                        <a:solidFill>
                          <a:srgbClr val="D6E3A5"/>
                        </a:solidFill>
                        <a:ln w="9525">
                          <a:noFill/>
                          <a:miter lim="800000"/>
                          <a:headEnd/>
                          <a:tailEnd/>
                        </a:ln>
                      </wps:spPr>
                      <wps:txbx>
                        <w:txbxContent>
                          <w:p w:rsidR="004514C6" w:rsidRDefault="004514C6" w:rsidP="004514C6">
                            <w:pPr>
                              <w:jc w:val="both"/>
                            </w:pPr>
                            <w:r w:rsidRPr="004514C6">
                              <w:t>Finally, implementation of the adaptation plan should be monitored and evaluated. M&amp;E is useful for understanding the status of the adaptation plan, verifying its effectiveness, and identifying any gaps. The results of M&amp;E need to be reflected in the revised adaptation plan and subsequent implementation processes. M&amp;E is an essential element to ensure that the adaptation plan is verified, updated, and adaptively managed according to any changes in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0DDC2" id="_x0000_t202" coordsize="21600,21600" o:spt="202" path="m,l,21600r21600,l21600,xe">
                <v:stroke joinstyle="miter"/>
                <v:path gradientshapeok="t" o:connecttype="rect"/>
              </v:shapetype>
              <v:shape id="テキスト ボックス 2" o:spid="_x0000_s1026" type="#_x0000_t202" style="position:absolute;left:0;text-align:left;margin-left:0;margin-top:58.25pt;width:696pt;height:8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" fillcolor="#d6e3a5" stroked="f">
                <v:textbox>
                  <w:txbxContent>
                    <w:p w14:paraId="2A2D1032" w14:textId="4675CEA1" w:rsidR="004514C6" w:rsidRDefault="004514C6" w:rsidP="004514C6">
                      <w:pPr>
                        <w:jc w:val="both"/>
                      </w:pPr>
                      <w:r w:rsidRPr="004514C6">
                        <w:t>Finally, implementation of the adaptation plan should be monitored and evaluated. M&amp;E is useful for understanding the status of the adaptation plan, verifying its effectiveness, and identifying any gaps. The results of M&amp;E need to be reflected in the revised adaptation plan and subsequent implementation processes. M&amp;E is an essential element to ensure that the adaptation plan is verified, updated, and adaptively managed according to any changes in circumstances.</w:t>
                      </w:r>
                    </w:p>
                  </w:txbxContent>
                </v:textbox>
                <w10:wrap type="square" anchorx="margin"/>
              </v:shape>
            </w:pict>
          </mc:Fallback>
        </mc:AlternateContent>
      </w:r>
      <w:r w:rsidRPr="004514C6">
        <w:t>This checklist is developed for national / local planners to self-assess work on developing climate change adaptation plans. The items listed here are only examples, and that additional processes may or may not be required depending on the country or district. The list therefore can be edited as appropriate according to the situation in each country or district.</w:t>
      </w:r>
    </w:p>
    <w:p w:rsidR="004514C6" w:rsidRDefault="004514C6" w:rsidP="004514C6">
      <w:pPr>
        <w:spacing w:before="240" w:after="240"/>
        <w:jc w:val="both"/>
      </w:pPr>
    </w:p>
    <w:p w:rsidR="004514C6" w:rsidRDefault="004514C6" w:rsidP="004514C6">
      <w:pPr>
        <w:spacing w:before="240" w:after="240"/>
        <w:jc w:val="both"/>
      </w:pPr>
      <w:r w:rsidRPr="00EB478A">
        <w:t xml:space="preserve">Place ‘X’ within ‘Yes’ box </w:t>
      </w:r>
      <w:r>
        <w:t xml:space="preserve">if the criteria is undergoing or already achieved, </w:t>
      </w:r>
      <w:r w:rsidRPr="00EB478A">
        <w:t>and make any relevant comments.</w:t>
      </w:r>
    </w:p>
    <w:p w:rsidR="004514C6" w:rsidRDefault="004514C6">
      <w:pPr>
        <w:spacing w:before="240" w:after="240"/>
        <w:jc w:val="both"/>
      </w:pPr>
    </w:p>
    <w:p w:rsidR="004D5914" w:rsidRDefault="008A6C39">
      <w:pPr>
        <w:spacing w:before="240" w:after="240"/>
        <w:rPr>
          <w:b/>
          <w:u w:val="single"/>
        </w:rPr>
      </w:pPr>
      <w:r>
        <w:rPr>
          <w:b/>
          <w:u w:val="single"/>
        </w:rPr>
        <w:t>Monitoring</w:t>
      </w:r>
      <w:r w:rsidR="004514C6">
        <w:rPr>
          <w:b/>
          <w:u w:val="single"/>
        </w:rPr>
        <w:t xml:space="preserve"> and</w:t>
      </w:r>
      <w:r>
        <w:rPr>
          <w:b/>
          <w:u w:val="single"/>
        </w:rPr>
        <w:t xml:space="preserve"> evaluation</w:t>
      </w:r>
    </w:p>
    <w:tbl>
      <w:tblPr>
        <w:tblStyle w:val="afe"/>
        <w:tblW w:w="14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560"/>
        <w:gridCol w:w="708"/>
        <w:gridCol w:w="4948"/>
      </w:tblGrid>
      <w:tr w:rsidR="004D5914" w:rsidTr="004514C6">
        <w:tc>
          <w:tcPr>
            <w:tcW w:w="6799" w:type="dxa"/>
            <w:shd w:val="clear" w:color="auto" w:fill="BDD270"/>
          </w:tcPr>
          <w:p w:rsidR="004D5914" w:rsidRDefault="008A6C39">
            <w:pPr>
              <w:rPr>
                <w:rFonts w:ascii="Arial" w:eastAsia="Arial" w:hAnsi="Arial" w:cs="Arial"/>
                <w:b/>
                <w:sz w:val="21"/>
                <w:szCs w:val="21"/>
              </w:rPr>
            </w:pPr>
            <w:r>
              <w:rPr>
                <w:rFonts w:ascii="Arial" w:eastAsia="Arial" w:hAnsi="Arial" w:cs="Arial"/>
                <w:b/>
                <w:sz w:val="21"/>
                <w:szCs w:val="21"/>
              </w:rPr>
              <w:t>Criteria</w:t>
            </w:r>
          </w:p>
        </w:tc>
        <w:tc>
          <w:tcPr>
            <w:tcW w:w="1560" w:type="dxa"/>
            <w:shd w:val="clear" w:color="auto" w:fill="BDD270"/>
          </w:tcPr>
          <w:p w:rsidR="004D5914" w:rsidRDefault="008A6C39">
            <w:pPr>
              <w:rPr>
                <w:rFonts w:ascii="Arial" w:eastAsia="Arial" w:hAnsi="Arial" w:cs="Arial"/>
                <w:b/>
                <w:sz w:val="21"/>
                <w:szCs w:val="21"/>
              </w:rPr>
            </w:pPr>
            <w:r>
              <w:rPr>
                <w:rFonts w:ascii="Arial" w:eastAsia="Arial" w:hAnsi="Arial" w:cs="Arial"/>
                <w:b/>
                <w:sz w:val="21"/>
                <w:szCs w:val="21"/>
              </w:rPr>
              <w:t>Lead</w:t>
            </w:r>
          </w:p>
        </w:tc>
        <w:tc>
          <w:tcPr>
            <w:tcW w:w="708" w:type="dxa"/>
            <w:shd w:val="clear" w:color="auto" w:fill="BDD270"/>
          </w:tcPr>
          <w:p w:rsidR="004D5914" w:rsidRDefault="008A6C39">
            <w:pPr>
              <w:rPr>
                <w:rFonts w:ascii="Arial" w:eastAsia="Arial" w:hAnsi="Arial" w:cs="Arial"/>
                <w:b/>
                <w:sz w:val="21"/>
                <w:szCs w:val="21"/>
              </w:rPr>
            </w:pPr>
            <w:r>
              <w:rPr>
                <w:rFonts w:ascii="Arial" w:eastAsia="Arial" w:hAnsi="Arial" w:cs="Arial"/>
                <w:b/>
                <w:sz w:val="21"/>
                <w:szCs w:val="21"/>
              </w:rPr>
              <w:t>Yes</w:t>
            </w:r>
          </w:p>
        </w:tc>
        <w:tc>
          <w:tcPr>
            <w:tcW w:w="4948" w:type="dxa"/>
            <w:shd w:val="clear" w:color="auto" w:fill="BDD270"/>
          </w:tcPr>
          <w:p w:rsidR="004D5914" w:rsidRDefault="008A6C39">
            <w:pPr>
              <w:rPr>
                <w:rFonts w:ascii="Arial" w:eastAsia="Arial" w:hAnsi="Arial" w:cs="Arial"/>
                <w:b/>
                <w:sz w:val="21"/>
                <w:szCs w:val="21"/>
              </w:rPr>
            </w:pPr>
            <w:r>
              <w:rPr>
                <w:rFonts w:ascii="Arial" w:eastAsia="Arial" w:hAnsi="Arial" w:cs="Arial"/>
                <w:b/>
                <w:sz w:val="21"/>
                <w:szCs w:val="21"/>
              </w:rPr>
              <w:t>Comments</w:t>
            </w:r>
          </w:p>
        </w:tc>
      </w:tr>
      <w:tr w:rsidR="004D5914" w:rsidTr="004514C6">
        <w:tc>
          <w:tcPr>
            <w:tcW w:w="14015" w:type="dxa"/>
            <w:gridSpan w:val="4"/>
            <w:shd w:val="clear" w:color="auto" w:fill="D6E3A5"/>
          </w:tcPr>
          <w:p w:rsidR="004D5914" w:rsidRDefault="008A6C39">
            <w:pPr>
              <w:rPr>
                <w:rFonts w:ascii="Arial" w:eastAsia="Arial" w:hAnsi="Arial" w:cs="Arial"/>
                <w:b/>
                <w:sz w:val="21"/>
                <w:szCs w:val="21"/>
              </w:rPr>
            </w:pPr>
            <w:r>
              <w:rPr>
                <w:rFonts w:ascii="Arial" w:eastAsia="Arial" w:hAnsi="Arial" w:cs="Arial"/>
                <w:b/>
                <w:sz w:val="21"/>
                <w:szCs w:val="21"/>
              </w:rPr>
              <w:t>Develop M&amp;E framework</w:t>
            </w:r>
          </w:p>
        </w:tc>
      </w:tr>
      <w:tr w:rsidR="004D5914">
        <w:trPr>
          <w:trHeight w:val="210"/>
        </w:trPr>
        <w:tc>
          <w:tcPr>
            <w:tcW w:w="6799" w:type="dxa"/>
          </w:tcPr>
          <w:p w:rsidR="004D5914" w:rsidRDefault="008A6C39">
            <w:pPr>
              <w:rPr>
                <w:rFonts w:ascii="Arial" w:eastAsia="Arial" w:hAnsi="Arial" w:cs="Arial"/>
                <w:sz w:val="21"/>
                <w:szCs w:val="21"/>
              </w:rPr>
            </w:pPr>
            <w:r>
              <w:rPr>
                <w:rFonts w:ascii="Arial" w:eastAsia="Arial" w:hAnsi="Arial" w:cs="Arial"/>
                <w:sz w:val="21"/>
                <w:szCs w:val="21"/>
              </w:rPr>
              <w:t>Clarify the objectives and key components of a country's M&amp;E system as well as a responsible authority and budgeting. Those could be also included in the adaptation plan document itself.</w:t>
            </w:r>
          </w:p>
        </w:tc>
        <w:tc>
          <w:tcPr>
            <w:tcW w:w="1560" w:type="dxa"/>
            <w:vMerge w:val="restart"/>
          </w:tcPr>
          <w:p w:rsidR="004D5914" w:rsidRDefault="008A6C39">
            <w:pPr>
              <w:rPr>
                <w:rFonts w:ascii="Arial" w:eastAsia="Arial" w:hAnsi="Arial" w:cs="Arial"/>
                <w:sz w:val="21"/>
                <w:szCs w:val="21"/>
              </w:rPr>
            </w:pPr>
            <w:r>
              <w:rPr>
                <w:rFonts w:ascii="Arial" w:eastAsia="Arial" w:hAnsi="Arial" w:cs="Arial"/>
                <w:sz w:val="21"/>
                <w:szCs w:val="21"/>
              </w:rPr>
              <w:t>NAP Taskforce and responsible authority for M&amp;E</w:t>
            </w:r>
          </w:p>
        </w:tc>
        <w:tc>
          <w:tcPr>
            <w:tcW w:w="708" w:type="dxa"/>
          </w:tcPr>
          <w:p w:rsidR="004D5914" w:rsidRDefault="004D5914">
            <w:pPr>
              <w:rPr>
                <w:rFonts w:ascii="Arial" w:eastAsia="Arial" w:hAnsi="Arial" w:cs="Arial"/>
                <w:sz w:val="21"/>
                <w:szCs w:val="21"/>
              </w:rPr>
            </w:pPr>
          </w:p>
        </w:tc>
        <w:tc>
          <w:tcPr>
            <w:tcW w:w="4948" w:type="dxa"/>
          </w:tcPr>
          <w:p w:rsidR="004D5914" w:rsidRDefault="004D5914">
            <w:pPr>
              <w:rPr>
                <w:rFonts w:ascii="Arial" w:eastAsia="Arial" w:hAnsi="Arial" w:cs="Arial"/>
                <w:sz w:val="21"/>
                <w:szCs w:val="21"/>
              </w:rPr>
            </w:pPr>
          </w:p>
        </w:tc>
      </w:tr>
      <w:tr w:rsidR="004D5914">
        <w:trPr>
          <w:trHeight w:val="210"/>
        </w:trPr>
        <w:tc>
          <w:tcPr>
            <w:tcW w:w="6799" w:type="dxa"/>
          </w:tcPr>
          <w:p w:rsidR="004D5914" w:rsidRDefault="008A6C39">
            <w:pPr>
              <w:rPr>
                <w:rFonts w:ascii="Arial" w:eastAsia="Arial" w:hAnsi="Arial" w:cs="Arial"/>
                <w:sz w:val="21"/>
                <w:szCs w:val="21"/>
              </w:rPr>
            </w:pPr>
            <w:r>
              <w:rPr>
                <w:rFonts w:ascii="Arial" w:eastAsia="Arial" w:hAnsi="Arial" w:cs="Arial"/>
                <w:sz w:val="21"/>
                <w:szCs w:val="21"/>
              </w:rPr>
              <w:t>Identify the scope and focus, the targets to be followed, as well as the timeframe of the M&amp;E system.</w:t>
            </w:r>
          </w:p>
        </w:tc>
        <w:tc>
          <w:tcPr>
            <w:tcW w:w="1560" w:type="dxa"/>
            <w:vMerge/>
          </w:tcPr>
          <w:p w:rsidR="004D5914" w:rsidRDefault="004D5914">
            <w:pPr>
              <w:widowControl w:val="0"/>
              <w:pBdr>
                <w:top w:val="nil"/>
                <w:left w:val="nil"/>
                <w:bottom w:val="nil"/>
                <w:right w:val="nil"/>
                <w:between w:val="nil"/>
              </w:pBdr>
              <w:rPr>
                <w:rFonts w:ascii="Arial" w:eastAsia="Arial" w:hAnsi="Arial" w:cs="Arial"/>
                <w:sz w:val="21"/>
                <w:szCs w:val="21"/>
              </w:rPr>
            </w:pPr>
          </w:p>
        </w:tc>
        <w:tc>
          <w:tcPr>
            <w:tcW w:w="708" w:type="dxa"/>
          </w:tcPr>
          <w:p w:rsidR="004D5914" w:rsidRDefault="004D5914">
            <w:pPr>
              <w:rPr>
                <w:rFonts w:ascii="Arial" w:eastAsia="Arial" w:hAnsi="Arial" w:cs="Arial"/>
                <w:sz w:val="21"/>
                <w:szCs w:val="21"/>
              </w:rPr>
            </w:pPr>
          </w:p>
        </w:tc>
        <w:tc>
          <w:tcPr>
            <w:tcW w:w="4948" w:type="dxa"/>
          </w:tcPr>
          <w:p w:rsidR="004D5914" w:rsidRDefault="004D5914">
            <w:pPr>
              <w:rPr>
                <w:rFonts w:ascii="Arial" w:eastAsia="Arial" w:hAnsi="Arial" w:cs="Arial"/>
                <w:sz w:val="21"/>
                <w:szCs w:val="21"/>
              </w:rPr>
            </w:pPr>
          </w:p>
        </w:tc>
      </w:tr>
      <w:tr w:rsidR="004D5914">
        <w:trPr>
          <w:trHeight w:val="210"/>
        </w:trPr>
        <w:tc>
          <w:tcPr>
            <w:tcW w:w="6799" w:type="dxa"/>
          </w:tcPr>
          <w:p w:rsidR="004D5914" w:rsidRDefault="008A6C39">
            <w:pPr>
              <w:rPr>
                <w:rFonts w:ascii="Arial" w:eastAsia="Arial" w:hAnsi="Arial" w:cs="Arial"/>
                <w:sz w:val="21"/>
                <w:szCs w:val="21"/>
              </w:rPr>
            </w:pPr>
            <w:r>
              <w:rPr>
                <w:rFonts w:ascii="Arial" w:eastAsia="Arial" w:hAnsi="Arial" w:cs="Arial"/>
                <w:sz w:val="21"/>
                <w:szCs w:val="21"/>
              </w:rPr>
              <w:t>To the extent appropriate, design the M&amp;E system as to provide learning and feedback that will help improve the adaptation plan.</w:t>
            </w:r>
          </w:p>
        </w:tc>
        <w:tc>
          <w:tcPr>
            <w:tcW w:w="1560" w:type="dxa"/>
            <w:vMerge/>
          </w:tcPr>
          <w:p w:rsidR="004D5914" w:rsidRDefault="004D5914">
            <w:pPr>
              <w:widowControl w:val="0"/>
              <w:pBdr>
                <w:top w:val="nil"/>
                <w:left w:val="nil"/>
                <w:bottom w:val="nil"/>
                <w:right w:val="nil"/>
                <w:between w:val="nil"/>
              </w:pBdr>
              <w:rPr>
                <w:rFonts w:ascii="Arial" w:eastAsia="Arial" w:hAnsi="Arial" w:cs="Arial"/>
                <w:sz w:val="21"/>
                <w:szCs w:val="21"/>
              </w:rPr>
            </w:pPr>
          </w:p>
        </w:tc>
        <w:tc>
          <w:tcPr>
            <w:tcW w:w="708" w:type="dxa"/>
          </w:tcPr>
          <w:p w:rsidR="004D5914" w:rsidRDefault="004D5914">
            <w:pPr>
              <w:rPr>
                <w:rFonts w:ascii="Arial" w:eastAsia="Arial" w:hAnsi="Arial" w:cs="Arial"/>
                <w:sz w:val="21"/>
                <w:szCs w:val="21"/>
              </w:rPr>
            </w:pPr>
            <w:bookmarkStart w:id="1" w:name="_GoBack"/>
            <w:bookmarkEnd w:id="1"/>
          </w:p>
        </w:tc>
        <w:tc>
          <w:tcPr>
            <w:tcW w:w="4948" w:type="dxa"/>
          </w:tcPr>
          <w:p w:rsidR="004D5914" w:rsidRDefault="004D5914">
            <w:pPr>
              <w:rPr>
                <w:rFonts w:ascii="Arial" w:eastAsia="Arial" w:hAnsi="Arial" w:cs="Arial"/>
                <w:sz w:val="21"/>
                <w:szCs w:val="21"/>
              </w:rPr>
            </w:pPr>
          </w:p>
        </w:tc>
      </w:tr>
      <w:tr w:rsidR="004D5914" w:rsidTr="004514C6">
        <w:tc>
          <w:tcPr>
            <w:tcW w:w="14015" w:type="dxa"/>
            <w:gridSpan w:val="4"/>
            <w:shd w:val="clear" w:color="auto" w:fill="D6E3A5"/>
          </w:tcPr>
          <w:p w:rsidR="004D5914" w:rsidRDefault="008A6C39">
            <w:pPr>
              <w:rPr>
                <w:rFonts w:ascii="Arial" w:eastAsia="Arial" w:hAnsi="Arial" w:cs="Arial"/>
                <w:b/>
                <w:sz w:val="21"/>
                <w:szCs w:val="21"/>
              </w:rPr>
            </w:pPr>
            <w:r>
              <w:rPr>
                <w:rFonts w:ascii="Arial" w:eastAsia="Arial" w:hAnsi="Arial" w:cs="Arial"/>
                <w:b/>
                <w:sz w:val="21"/>
                <w:szCs w:val="21"/>
              </w:rPr>
              <w:lastRenderedPageBreak/>
              <w:t>Adaptation indicators</w:t>
            </w:r>
          </w:p>
        </w:tc>
      </w:tr>
      <w:tr w:rsidR="004D5914">
        <w:tc>
          <w:tcPr>
            <w:tcW w:w="6799" w:type="dxa"/>
          </w:tcPr>
          <w:p w:rsidR="004D5914" w:rsidRDefault="008A6C39">
            <w:pPr>
              <w:rPr>
                <w:rFonts w:ascii="Arial" w:eastAsia="Arial" w:hAnsi="Arial" w:cs="Arial"/>
                <w:sz w:val="21"/>
                <w:szCs w:val="21"/>
              </w:rPr>
            </w:pPr>
            <w:r>
              <w:rPr>
                <w:rFonts w:ascii="Arial" w:eastAsia="Arial" w:hAnsi="Arial" w:cs="Arial"/>
                <w:sz w:val="21"/>
                <w:szCs w:val="21"/>
              </w:rPr>
              <w:t>For the contents identified for evaluation, define metrics for documenting progress, measuring and communicating levels of effectiveness and assessing gaps.</w:t>
            </w:r>
          </w:p>
        </w:tc>
        <w:tc>
          <w:tcPr>
            <w:tcW w:w="1560" w:type="dxa"/>
            <w:vMerge w:val="restart"/>
          </w:tcPr>
          <w:p w:rsidR="004D5914" w:rsidRDefault="008A6C39">
            <w:pPr>
              <w:rPr>
                <w:rFonts w:ascii="Arial" w:eastAsia="Arial" w:hAnsi="Arial" w:cs="Arial"/>
                <w:sz w:val="21"/>
                <w:szCs w:val="21"/>
              </w:rPr>
            </w:pPr>
            <w:r>
              <w:rPr>
                <w:rFonts w:ascii="Arial" w:eastAsia="Arial" w:hAnsi="Arial" w:cs="Arial"/>
                <w:sz w:val="21"/>
                <w:szCs w:val="21"/>
              </w:rPr>
              <w:t>Responsible authority for M&amp;E</w:t>
            </w:r>
          </w:p>
        </w:tc>
        <w:tc>
          <w:tcPr>
            <w:tcW w:w="708" w:type="dxa"/>
          </w:tcPr>
          <w:p w:rsidR="004D5914" w:rsidRDefault="004D5914">
            <w:pPr>
              <w:rPr>
                <w:rFonts w:ascii="Arial" w:eastAsia="Arial" w:hAnsi="Arial" w:cs="Arial"/>
                <w:sz w:val="21"/>
                <w:szCs w:val="21"/>
              </w:rPr>
            </w:pPr>
          </w:p>
        </w:tc>
        <w:tc>
          <w:tcPr>
            <w:tcW w:w="4948" w:type="dxa"/>
          </w:tcPr>
          <w:p w:rsidR="004D5914" w:rsidRDefault="004D5914">
            <w:pPr>
              <w:rPr>
                <w:rFonts w:ascii="Arial" w:eastAsia="Arial" w:hAnsi="Arial" w:cs="Arial"/>
                <w:sz w:val="21"/>
                <w:szCs w:val="21"/>
              </w:rPr>
            </w:pPr>
          </w:p>
        </w:tc>
      </w:tr>
      <w:tr w:rsidR="004D5914">
        <w:tc>
          <w:tcPr>
            <w:tcW w:w="6799" w:type="dxa"/>
          </w:tcPr>
          <w:p w:rsidR="004D5914" w:rsidRDefault="008A6C39">
            <w:pPr>
              <w:rPr>
                <w:rFonts w:ascii="Arial" w:eastAsia="Arial" w:hAnsi="Arial" w:cs="Arial"/>
                <w:sz w:val="21"/>
                <w:szCs w:val="21"/>
              </w:rPr>
            </w:pPr>
            <w:r>
              <w:rPr>
                <w:rFonts w:ascii="Arial" w:eastAsia="Arial" w:hAnsi="Arial" w:cs="Arial"/>
                <w:sz w:val="21"/>
                <w:szCs w:val="21"/>
              </w:rPr>
              <w:t>Collect information and relevant data on evaluation indicators and evaluate on a regular basis over a defined period of time.</w:t>
            </w:r>
          </w:p>
        </w:tc>
        <w:tc>
          <w:tcPr>
            <w:tcW w:w="1560" w:type="dxa"/>
            <w:vMerge/>
          </w:tcPr>
          <w:p w:rsidR="004D5914" w:rsidRDefault="004D5914">
            <w:pPr>
              <w:widowControl w:val="0"/>
              <w:pBdr>
                <w:top w:val="nil"/>
                <w:left w:val="nil"/>
                <w:bottom w:val="nil"/>
                <w:right w:val="nil"/>
                <w:between w:val="nil"/>
              </w:pBdr>
              <w:spacing w:line="276" w:lineRule="auto"/>
              <w:rPr>
                <w:rFonts w:ascii="Arial" w:eastAsia="Arial" w:hAnsi="Arial" w:cs="Arial"/>
                <w:sz w:val="21"/>
                <w:szCs w:val="21"/>
              </w:rPr>
            </w:pPr>
          </w:p>
        </w:tc>
        <w:tc>
          <w:tcPr>
            <w:tcW w:w="708" w:type="dxa"/>
          </w:tcPr>
          <w:p w:rsidR="004D5914" w:rsidRDefault="004D5914">
            <w:pPr>
              <w:rPr>
                <w:rFonts w:ascii="Arial" w:eastAsia="Arial" w:hAnsi="Arial" w:cs="Arial"/>
                <w:sz w:val="21"/>
                <w:szCs w:val="21"/>
              </w:rPr>
            </w:pPr>
          </w:p>
        </w:tc>
        <w:tc>
          <w:tcPr>
            <w:tcW w:w="4948" w:type="dxa"/>
          </w:tcPr>
          <w:p w:rsidR="004D5914" w:rsidRDefault="004D5914">
            <w:pPr>
              <w:rPr>
                <w:rFonts w:ascii="Arial" w:eastAsia="Arial" w:hAnsi="Arial" w:cs="Arial"/>
                <w:sz w:val="21"/>
                <w:szCs w:val="21"/>
              </w:rPr>
            </w:pPr>
          </w:p>
        </w:tc>
      </w:tr>
    </w:tbl>
    <w:p w:rsidR="004514C6" w:rsidRDefault="004514C6" w:rsidP="004514C6">
      <w:pPr>
        <w:spacing w:before="240" w:after="240"/>
        <w:rPr>
          <w:b/>
          <w:u w:val="single"/>
        </w:rPr>
      </w:pPr>
      <w:bookmarkStart w:id="2" w:name="_heading=h.1fob9te" w:colFirst="0" w:colLast="0"/>
      <w:bookmarkEnd w:id="2"/>
    </w:p>
    <w:p w:rsidR="004D5914" w:rsidRDefault="004514C6">
      <w:pPr>
        <w:spacing w:before="240" w:after="240"/>
        <w:rPr>
          <w:b/>
          <w:u w:val="single"/>
        </w:rPr>
      </w:pPr>
      <w:r>
        <w:rPr>
          <w:b/>
          <w:u w:val="single"/>
        </w:rPr>
        <w:t>Review and updating</w:t>
      </w:r>
    </w:p>
    <w:tbl>
      <w:tblPr>
        <w:tblStyle w:val="afe"/>
        <w:tblW w:w="14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560"/>
        <w:gridCol w:w="708"/>
        <w:gridCol w:w="4948"/>
      </w:tblGrid>
      <w:tr w:rsidR="004514C6" w:rsidTr="0004499B">
        <w:tc>
          <w:tcPr>
            <w:tcW w:w="6799" w:type="dxa"/>
            <w:shd w:val="clear" w:color="auto" w:fill="BDD270"/>
          </w:tcPr>
          <w:p w:rsidR="004514C6" w:rsidRDefault="004514C6" w:rsidP="0004499B">
            <w:pPr>
              <w:rPr>
                <w:rFonts w:ascii="Arial" w:eastAsia="Arial" w:hAnsi="Arial" w:cs="Arial"/>
                <w:b/>
                <w:sz w:val="21"/>
                <w:szCs w:val="21"/>
              </w:rPr>
            </w:pPr>
            <w:r>
              <w:rPr>
                <w:rFonts w:ascii="Arial" w:eastAsia="Arial" w:hAnsi="Arial" w:cs="Arial"/>
                <w:b/>
                <w:sz w:val="21"/>
                <w:szCs w:val="21"/>
              </w:rPr>
              <w:t>Criteria</w:t>
            </w:r>
          </w:p>
        </w:tc>
        <w:tc>
          <w:tcPr>
            <w:tcW w:w="1560" w:type="dxa"/>
            <w:shd w:val="clear" w:color="auto" w:fill="BDD270"/>
          </w:tcPr>
          <w:p w:rsidR="004514C6" w:rsidRDefault="004514C6" w:rsidP="0004499B">
            <w:pPr>
              <w:rPr>
                <w:rFonts w:ascii="Arial" w:eastAsia="Arial" w:hAnsi="Arial" w:cs="Arial"/>
                <w:b/>
                <w:sz w:val="21"/>
                <w:szCs w:val="21"/>
              </w:rPr>
            </w:pPr>
            <w:r>
              <w:rPr>
                <w:rFonts w:ascii="Arial" w:eastAsia="Arial" w:hAnsi="Arial" w:cs="Arial"/>
                <w:b/>
                <w:sz w:val="21"/>
                <w:szCs w:val="21"/>
              </w:rPr>
              <w:t>Lead</w:t>
            </w:r>
          </w:p>
        </w:tc>
        <w:tc>
          <w:tcPr>
            <w:tcW w:w="708" w:type="dxa"/>
            <w:shd w:val="clear" w:color="auto" w:fill="BDD270"/>
          </w:tcPr>
          <w:p w:rsidR="004514C6" w:rsidRDefault="004514C6" w:rsidP="0004499B">
            <w:pPr>
              <w:rPr>
                <w:rFonts w:ascii="Arial" w:eastAsia="Arial" w:hAnsi="Arial" w:cs="Arial"/>
                <w:b/>
                <w:sz w:val="21"/>
                <w:szCs w:val="21"/>
              </w:rPr>
            </w:pPr>
            <w:r>
              <w:rPr>
                <w:rFonts w:ascii="Arial" w:eastAsia="Arial" w:hAnsi="Arial" w:cs="Arial"/>
                <w:b/>
                <w:sz w:val="21"/>
                <w:szCs w:val="21"/>
              </w:rPr>
              <w:t>Yes</w:t>
            </w:r>
          </w:p>
        </w:tc>
        <w:tc>
          <w:tcPr>
            <w:tcW w:w="4948" w:type="dxa"/>
            <w:shd w:val="clear" w:color="auto" w:fill="BDD270"/>
          </w:tcPr>
          <w:p w:rsidR="004514C6" w:rsidRDefault="004514C6" w:rsidP="0004499B">
            <w:pPr>
              <w:rPr>
                <w:rFonts w:ascii="Arial" w:eastAsia="Arial" w:hAnsi="Arial" w:cs="Arial"/>
                <w:b/>
                <w:sz w:val="21"/>
                <w:szCs w:val="21"/>
              </w:rPr>
            </w:pPr>
            <w:r>
              <w:rPr>
                <w:rFonts w:ascii="Arial" w:eastAsia="Arial" w:hAnsi="Arial" w:cs="Arial"/>
                <w:b/>
                <w:sz w:val="21"/>
                <w:szCs w:val="21"/>
              </w:rPr>
              <w:t>Comments</w:t>
            </w:r>
          </w:p>
        </w:tc>
      </w:tr>
      <w:tr w:rsidR="004514C6" w:rsidTr="004514C6">
        <w:tc>
          <w:tcPr>
            <w:tcW w:w="14015" w:type="dxa"/>
            <w:gridSpan w:val="4"/>
            <w:shd w:val="clear" w:color="auto" w:fill="D6E3A5"/>
          </w:tcPr>
          <w:p w:rsidR="004514C6" w:rsidRDefault="004514C6" w:rsidP="0004499B">
            <w:pPr>
              <w:rPr>
                <w:rFonts w:ascii="Arial" w:eastAsia="Arial" w:hAnsi="Arial" w:cs="Arial"/>
                <w:b/>
                <w:sz w:val="21"/>
                <w:szCs w:val="21"/>
              </w:rPr>
            </w:pPr>
            <w:r>
              <w:rPr>
                <w:rFonts w:ascii="Arial" w:eastAsia="Arial" w:hAnsi="Arial" w:cs="Arial"/>
                <w:b/>
                <w:sz w:val="21"/>
                <w:szCs w:val="21"/>
              </w:rPr>
              <w:t>Review and updating of the adaptation plan</w:t>
            </w:r>
          </w:p>
        </w:tc>
      </w:tr>
      <w:tr w:rsidR="004514C6" w:rsidTr="0004499B">
        <w:trPr>
          <w:trHeight w:val="754"/>
        </w:trPr>
        <w:tc>
          <w:tcPr>
            <w:tcW w:w="6799" w:type="dxa"/>
          </w:tcPr>
          <w:p w:rsidR="004514C6" w:rsidRDefault="004514C6" w:rsidP="0004499B">
            <w:pPr>
              <w:rPr>
                <w:rFonts w:ascii="Arial" w:eastAsia="Arial" w:hAnsi="Arial" w:cs="Arial"/>
                <w:sz w:val="21"/>
                <w:szCs w:val="21"/>
              </w:rPr>
            </w:pPr>
            <w:r>
              <w:rPr>
                <w:rFonts w:ascii="Arial" w:eastAsia="Arial" w:hAnsi="Arial" w:cs="Arial"/>
                <w:sz w:val="21"/>
                <w:szCs w:val="21"/>
              </w:rPr>
              <w:t>Compile and integrate information from the latest science, indigenous and local knowledge, as well as the results of adaptation activities underway, to support the review and update of the adaptation plan.</w:t>
            </w:r>
          </w:p>
        </w:tc>
        <w:tc>
          <w:tcPr>
            <w:tcW w:w="1560" w:type="dxa"/>
          </w:tcPr>
          <w:p w:rsidR="004514C6" w:rsidRDefault="004514C6" w:rsidP="0004499B">
            <w:pPr>
              <w:rPr>
                <w:rFonts w:ascii="Arial" w:eastAsia="Arial" w:hAnsi="Arial" w:cs="Arial"/>
                <w:sz w:val="21"/>
                <w:szCs w:val="21"/>
              </w:rPr>
            </w:pPr>
            <w:r>
              <w:rPr>
                <w:rFonts w:ascii="Arial" w:eastAsia="Arial" w:hAnsi="Arial" w:cs="Arial"/>
                <w:sz w:val="21"/>
                <w:szCs w:val="21"/>
              </w:rPr>
              <w:t>NAP Taskforce</w:t>
            </w:r>
          </w:p>
        </w:tc>
        <w:tc>
          <w:tcPr>
            <w:tcW w:w="708" w:type="dxa"/>
          </w:tcPr>
          <w:p w:rsidR="004514C6" w:rsidRDefault="004514C6" w:rsidP="0004499B">
            <w:pPr>
              <w:rPr>
                <w:rFonts w:ascii="Arial" w:eastAsia="Arial" w:hAnsi="Arial" w:cs="Arial"/>
                <w:sz w:val="21"/>
                <w:szCs w:val="21"/>
              </w:rPr>
            </w:pPr>
          </w:p>
        </w:tc>
        <w:tc>
          <w:tcPr>
            <w:tcW w:w="4948" w:type="dxa"/>
          </w:tcPr>
          <w:p w:rsidR="004514C6" w:rsidRDefault="004514C6" w:rsidP="0004499B">
            <w:pPr>
              <w:rPr>
                <w:rFonts w:ascii="Arial" w:eastAsia="Arial" w:hAnsi="Arial" w:cs="Arial"/>
                <w:sz w:val="21"/>
                <w:szCs w:val="21"/>
              </w:rPr>
            </w:pPr>
          </w:p>
        </w:tc>
      </w:tr>
      <w:tr w:rsidR="004514C6" w:rsidTr="0004499B">
        <w:tc>
          <w:tcPr>
            <w:tcW w:w="6799" w:type="dxa"/>
          </w:tcPr>
          <w:p w:rsidR="004514C6" w:rsidRDefault="004514C6" w:rsidP="0004499B">
            <w:pPr>
              <w:rPr>
                <w:rFonts w:ascii="Arial" w:eastAsia="Arial" w:hAnsi="Arial" w:cs="Arial"/>
                <w:sz w:val="21"/>
                <w:szCs w:val="21"/>
              </w:rPr>
            </w:pPr>
            <w:r>
              <w:rPr>
                <w:rFonts w:ascii="Arial" w:eastAsia="Arial" w:hAnsi="Arial" w:cs="Arial"/>
                <w:sz w:val="21"/>
                <w:szCs w:val="21"/>
              </w:rPr>
              <w:t xml:space="preserve">Update the adaptation plan using the results of the </w:t>
            </w:r>
            <w:proofErr w:type="spellStart"/>
            <w:r>
              <w:rPr>
                <w:rFonts w:ascii="Arial" w:eastAsia="Arial" w:hAnsi="Arial" w:cs="Arial"/>
                <w:sz w:val="21"/>
                <w:szCs w:val="21"/>
              </w:rPr>
              <w:t>matrics</w:t>
            </w:r>
            <w:proofErr w:type="spellEnd"/>
            <w:r>
              <w:rPr>
                <w:rFonts w:ascii="Arial" w:eastAsia="Arial" w:hAnsi="Arial" w:cs="Arial"/>
                <w:sz w:val="21"/>
                <w:szCs w:val="21"/>
              </w:rPr>
              <w:t>-based evaluations, the information synthesized above and the feedback from the learning process, at the frequency and methodology specified in the M&amp;E system.</w:t>
            </w:r>
          </w:p>
        </w:tc>
        <w:tc>
          <w:tcPr>
            <w:tcW w:w="1560" w:type="dxa"/>
          </w:tcPr>
          <w:p w:rsidR="004514C6" w:rsidRDefault="004514C6" w:rsidP="0004499B">
            <w:pPr>
              <w:rPr>
                <w:rFonts w:ascii="Arial" w:eastAsia="Arial" w:hAnsi="Arial" w:cs="Arial"/>
                <w:sz w:val="21"/>
                <w:szCs w:val="21"/>
              </w:rPr>
            </w:pPr>
            <w:r>
              <w:rPr>
                <w:rFonts w:ascii="Arial" w:eastAsia="Arial" w:hAnsi="Arial" w:cs="Arial"/>
                <w:sz w:val="21"/>
                <w:szCs w:val="21"/>
              </w:rPr>
              <w:t>NAP Taskforce</w:t>
            </w:r>
          </w:p>
        </w:tc>
        <w:tc>
          <w:tcPr>
            <w:tcW w:w="708" w:type="dxa"/>
          </w:tcPr>
          <w:p w:rsidR="004514C6" w:rsidRDefault="004514C6" w:rsidP="0004499B">
            <w:pPr>
              <w:rPr>
                <w:rFonts w:ascii="Arial" w:eastAsia="Arial" w:hAnsi="Arial" w:cs="Arial"/>
                <w:sz w:val="21"/>
                <w:szCs w:val="21"/>
              </w:rPr>
            </w:pPr>
          </w:p>
        </w:tc>
        <w:tc>
          <w:tcPr>
            <w:tcW w:w="4948" w:type="dxa"/>
          </w:tcPr>
          <w:p w:rsidR="004514C6" w:rsidRDefault="004514C6" w:rsidP="0004499B">
            <w:pPr>
              <w:rPr>
                <w:rFonts w:ascii="Arial" w:eastAsia="Arial" w:hAnsi="Arial" w:cs="Arial"/>
                <w:sz w:val="21"/>
                <w:szCs w:val="21"/>
              </w:rPr>
            </w:pPr>
          </w:p>
        </w:tc>
      </w:tr>
      <w:tr w:rsidR="004514C6" w:rsidTr="0004499B">
        <w:tc>
          <w:tcPr>
            <w:tcW w:w="6799" w:type="dxa"/>
          </w:tcPr>
          <w:p w:rsidR="004514C6" w:rsidRDefault="004514C6" w:rsidP="0004499B">
            <w:pPr>
              <w:rPr>
                <w:rFonts w:ascii="Arial" w:eastAsia="Arial" w:hAnsi="Arial" w:cs="Arial"/>
                <w:sz w:val="21"/>
                <w:szCs w:val="21"/>
              </w:rPr>
            </w:pPr>
            <w:r>
              <w:rPr>
                <w:rFonts w:ascii="Arial" w:eastAsia="Arial" w:hAnsi="Arial" w:cs="Arial"/>
                <w:sz w:val="21"/>
                <w:szCs w:val="21"/>
              </w:rPr>
              <w:t>Strive to align the adaptation plan with the relevant latest national development plans for further updating.</w:t>
            </w:r>
          </w:p>
        </w:tc>
        <w:tc>
          <w:tcPr>
            <w:tcW w:w="1560" w:type="dxa"/>
          </w:tcPr>
          <w:p w:rsidR="004514C6" w:rsidRDefault="004514C6" w:rsidP="0004499B">
            <w:pPr>
              <w:rPr>
                <w:rFonts w:ascii="Arial" w:eastAsia="Arial" w:hAnsi="Arial" w:cs="Arial"/>
                <w:sz w:val="21"/>
                <w:szCs w:val="21"/>
              </w:rPr>
            </w:pPr>
            <w:r>
              <w:rPr>
                <w:rFonts w:ascii="Arial" w:eastAsia="Arial" w:hAnsi="Arial" w:cs="Arial"/>
                <w:sz w:val="21"/>
                <w:szCs w:val="21"/>
              </w:rPr>
              <w:t>NAP Taskforce and relevant ministries / agencies</w:t>
            </w:r>
          </w:p>
        </w:tc>
        <w:tc>
          <w:tcPr>
            <w:tcW w:w="708" w:type="dxa"/>
          </w:tcPr>
          <w:p w:rsidR="004514C6" w:rsidRDefault="004514C6" w:rsidP="0004499B">
            <w:pPr>
              <w:rPr>
                <w:rFonts w:ascii="Arial" w:eastAsia="Arial" w:hAnsi="Arial" w:cs="Arial"/>
                <w:sz w:val="21"/>
                <w:szCs w:val="21"/>
              </w:rPr>
            </w:pPr>
          </w:p>
        </w:tc>
        <w:tc>
          <w:tcPr>
            <w:tcW w:w="4948" w:type="dxa"/>
          </w:tcPr>
          <w:p w:rsidR="004514C6" w:rsidRDefault="004514C6" w:rsidP="0004499B">
            <w:pPr>
              <w:rPr>
                <w:rFonts w:ascii="Arial" w:eastAsia="Arial" w:hAnsi="Arial" w:cs="Arial"/>
                <w:sz w:val="21"/>
                <w:szCs w:val="21"/>
              </w:rPr>
            </w:pPr>
          </w:p>
        </w:tc>
      </w:tr>
    </w:tbl>
    <w:p w:rsidR="004514C6" w:rsidRDefault="004514C6">
      <w:pPr>
        <w:spacing w:before="240" w:after="240"/>
        <w:rPr>
          <w:b/>
          <w:u w:val="single"/>
        </w:rPr>
      </w:pPr>
    </w:p>
    <w:p w:rsidR="004514C6" w:rsidRPr="00B442E7" w:rsidRDefault="004514C6" w:rsidP="004514C6">
      <w:pPr>
        <w:spacing w:before="240" w:after="240"/>
        <w:rPr>
          <w:sz w:val="20"/>
          <w:szCs w:val="20"/>
        </w:rPr>
      </w:pPr>
      <w:r w:rsidRPr="00B442E7">
        <w:rPr>
          <w:sz w:val="20"/>
          <w:szCs w:val="20"/>
        </w:rPr>
        <w:t xml:space="preserve">*This checklist </w:t>
      </w:r>
      <w:r>
        <w:rPr>
          <w:sz w:val="20"/>
          <w:szCs w:val="20"/>
        </w:rPr>
        <w:t>is</w:t>
      </w:r>
      <w:r w:rsidRPr="00B442E7">
        <w:rPr>
          <w:sz w:val="20"/>
          <w:szCs w:val="20"/>
        </w:rPr>
        <w:t xml:space="preserve"> developed by AP-PLAT with reference to the following:</w:t>
      </w:r>
    </w:p>
    <w:p w:rsidR="004514C6" w:rsidRPr="004514C6" w:rsidRDefault="004514C6" w:rsidP="004514C6">
      <w:pPr>
        <w:spacing w:before="240" w:after="240"/>
        <w:rPr>
          <w:b/>
          <w:u w:val="single"/>
        </w:rPr>
      </w:pPr>
      <w:r w:rsidRPr="00B442E7">
        <w:rPr>
          <w:color w:val="000000"/>
          <w:sz w:val="20"/>
          <w:szCs w:val="20"/>
        </w:rPr>
        <w:t xml:space="preserve">Least Developed Countries Expert Group. 2012. </w:t>
      </w:r>
      <w:r w:rsidRPr="00F74F53">
        <w:rPr>
          <w:sz w:val="20"/>
          <w:szCs w:val="20"/>
        </w:rPr>
        <w:t>National Adaptation Plans. Technical guidelines for the national adaptation plan process</w:t>
      </w:r>
      <w:r w:rsidRPr="00B442E7">
        <w:rPr>
          <w:color w:val="000000"/>
          <w:sz w:val="20"/>
          <w:szCs w:val="20"/>
        </w:rPr>
        <w:t>. Bonn: UNFCCC secretariat. Bonn, Germany. December 2012.</w:t>
      </w:r>
      <w:r>
        <w:rPr>
          <w:color w:val="000000"/>
          <w:sz w:val="20"/>
          <w:szCs w:val="20"/>
        </w:rPr>
        <w:t xml:space="preserve"> Available at: </w:t>
      </w:r>
      <w:hyperlink r:id="rId8" w:history="1">
        <w:r w:rsidRPr="003D1368">
          <w:rPr>
            <w:rStyle w:val="afc"/>
            <w:sz w:val="20"/>
            <w:szCs w:val="20"/>
          </w:rPr>
          <w:t>https://unfccc.int/topics/adaptation-and-resilience/workstreams/national-adaptation-plans-naps/guidelines-for-national-adaptation-plans-naps</w:t>
        </w:r>
      </w:hyperlink>
    </w:p>
    <w:sectPr w:rsidR="004514C6" w:rsidRPr="004514C6">
      <w:headerReference w:type="default" r:id="rId9"/>
      <w:footerReference w:type="default" r:id="rId10"/>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4FE" w:rsidRDefault="00AE24FE">
      <w:pPr>
        <w:spacing w:line="240" w:lineRule="auto"/>
      </w:pPr>
      <w:r>
        <w:separator/>
      </w:r>
    </w:p>
  </w:endnote>
  <w:endnote w:type="continuationSeparator" w:id="0">
    <w:p w:rsidR="00AE24FE" w:rsidRDefault="00AE24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914" w:rsidRDefault="008A6C39">
    <w:pPr>
      <w:jc w:val="center"/>
    </w:pPr>
    <w:r>
      <w:t>Check list for “Adaptation Plan Development Process”</w:t>
    </w:r>
  </w:p>
  <w:p w:rsidR="004D5914" w:rsidRDefault="008A6C39">
    <w:pPr>
      <w:pBdr>
        <w:top w:val="nil"/>
        <w:left w:val="nil"/>
        <w:bottom w:val="nil"/>
        <w:right w:val="nil"/>
        <w:between w:val="nil"/>
      </w:pBdr>
      <w:ind w:left="360"/>
      <w:jc w:val="center"/>
      <w:rPr>
        <w:color w:val="000000"/>
      </w:rPr>
    </w:pPr>
    <w:r>
      <w:rPr>
        <w:rFonts w:eastAsia="Arial"/>
        <w:color w:val="000000"/>
      </w:rPr>
      <w:t>5. Monitoring and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4FE" w:rsidRDefault="00AE24FE">
      <w:pPr>
        <w:spacing w:line="240" w:lineRule="auto"/>
      </w:pPr>
      <w:r>
        <w:separator/>
      </w:r>
    </w:p>
  </w:footnote>
  <w:footnote w:type="continuationSeparator" w:id="0">
    <w:p w:rsidR="00AE24FE" w:rsidRDefault="00AE24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914" w:rsidRDefault="008A6C39">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1915331" cy="4452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5331" cy="445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577A5"/>
    <w:multiLevelType w:val="multilevel"/>
    <w:tmpl w:val="8C32DF60"/>
    <w:lvl w:ilvl="0">
      <w:start w:val="5"/>
      <w:numFmt w:val="decimal"/>
      <w:lvlText w:val="%1."/>
      <w:lvlJc w:val="left"/>
      <w:pPr>
        <w:ind w:left="720" w:hanging="360"/>
      </w:pPr>
    </w:lvl>
    <w:lvl w:ilvl="1">
      <w:start w:val="1"/>
      <w:numFmt w:val="decimal"/>
      <w:lvlText w:val="(%2)"/>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14"/>
    <w:rsid w:val="004514C6"/>
    <w:rsid w:val="004D5914"/>
    <w:rsid w:val="00871EB5"/>
    <w:rsid w:val="008A6C39"/>
    <w:rsid w:val="00AE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A55B5C"/>
  <w15:docId w15:val="{980DFB81-6637-4915-B682-0E900404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paragraph" w:styleId="af1">
    <w:name w:val="annotation text"/>
    <w:basedOn w:val="a"/>
    <w:link w:val="10"/>
    <w:uiPriority w:val="99"/>
    <w:semiHidden/>
    <w:unhideWhenUsed/>
    <w:pPr>
      <w:spacing w:line="240" w:lineRule="auto"/>
    </w:pPr>
    <w:rPr>
      <w:sz w:val="20"/>
      <w:szCs w:val="20"/>
    </w:rPr>
  </w:style>
  <w:style w:type="character" w:customStyle="1" w:styleId="af2">
    <w:name w:val="コメント文字列 (文字)"/>
    <w:basedOn w:val="a0"/>
    <w:uiPriority w:val="99"/>
    <w:semiHidden/>
  </w:style>
  <w:style w:type="character" w:styleId="af3">
    <w:name w:val="annotation reference"/>
    <w:uiPriority w:val="99"/>
    <w:semiHidden/>
    <w:unhideWhenUsed/>
    <w:rPr>
      <w:sz w:val="16"/>
      <w:szCs w:val="16"/>
    </w:rPr>
  </w:style>
  <w:style w:type="paragraph" w:styleId="af4">
    <w:name w:val="Balloon Text"/>
    <w:basedOn w:val="a"/>
    <w:link w:val="af5"/>
    <w:uiPriority w:val="99"/>
    <w:semiHidden/>
    <w:unhideWhenUsed/>
    <w:rsid w:val="00D43B7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D43B79"/>
    <w:rPr>
      <w:rFonts w:asciiTheme="majorHAnsi" w:eastAsiaTheme="majorEastAsia" w:hAnsiTheme="majorHAnsi" w:cstheme="majorBidi"/>
      <w:sz w:val="18"/>
      <w:szCs w:val="18"/>
    </w:rPr>
  </w:style>
  <w:style w:type="paragraph" w:styleId="af6">
    <w:name w:val="header"/>
    <w:basedOn w:val="a"/>
    <w:link w:val="af7"/>
    <w:uiPriority w:val="99"/>
    <w:unhideWhenUsed/>
    <w:rsid w:val="005F5390"/>
    <w:pPr>
      <w:tabs>
        <w:tab w:val="center" w:pos="4252"/>
        <w:tab w:val="right" w:pos="8504"/>
      </w:tabs>
      <w:snapToGrid w:val="0"/>
    </w:pPr>
  </w:style>
  <w:style w:type="character" w:customStyle="1" w:styleId="af7">
    <w:name w:val="ヘッダー (文字)"/>
    <w:basedOn w:val="a0"/>
    <w:link w:val="af6"/>
    <w:uiPriority w:val="99"/>
    <w:rsid w:val="005F5390"/>
  </w:style>
  <w:style w:type="paragraph" w:styleId="af8">
    <w:name w:val="footer"/>
    <w:basedOn w:val="a"/>
    <w:link w:val="af9"/>
    <w:uiPriority w:val="99"/>
    <w:unhideWhenUsed/>
    <w:rsid w:val="005F5390"/>
    <w:pPr>
      <w:tabs>
        <w:tab w:val="center" w:pos="4252"/>
        <w:tab w:val="right" w:pos="8504"/>
      </w:tabs>
      <w:snapToGrid w:val="0"/>
    </w:pPr>
  </w:style>
  <w:style w:type="character" w:customStyle="1" w:styleId="af9">
    <w:name w:val="フッター (文字)"/>
    <w:basedOn w:val="a0"/>
    <w:link w:val="af8"/>
    <w:uiPriority w:val="99"/>
    <w:rsid w:val="005F5390"/>
  </w:style>
  <w:style w:type="paragraph" w:styleId="afa">
    <w:name w:val="List Paragraph"/>
    <w:basedOn w:val="a"/>
    <w:uiPriority w:val="34"/>
    <w:qFormat/>
    <w:rsid w:val="006F2F66"/>
    <w:pPr>
      <w:ind w:leftChars="400" w:left="840"/>
    </w:pPr>
  </w:style>
  <w:style w:type="table" w:styleId="afb">
    <w:name w:val="Table Grid"/>
    <w:basedOn w:val="a1"/>
    <w:rsid w:val="006C33CA"/>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CD4A6D"/>
    <w:rPr>
      <w:color w:val="0000FF" w:themeColor="hyperlink"/>
      <w:u w:val="single"/>
    </w:rPr>
  </w:style>
  <w:style w:type="character" w:styleId="afd">
    <w:name w:val="Unresolved Mention"/>
    <w:basedOn w:val="a0"/>
    <w:uiPriority w:val="99"/>
    <w:semiHidden/>
    <w:unhideWhenUsed/>
    <w:rsid w:val="00CD4A6D"/>
    <w:rPr>
      <w:color w:val="605E5C"/>
      <w:shd w:val="clear" w:color="auto" w:fill="E1DFDD"/>
    </w:rPr>
  </w:style>
  <w:style w:type="table" w:customStyle="1" w:styleId="afe">
    <w:basedOn w:val="TableNormal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ff">
    <w:name w:val="annotation subject"/>
    <w:basedOn w:val="af1"/>
    <w:next w:val="af1"/>
    <w:link w:val="aff0"/>
    <w:uiPriority w:val="99"/>
    <w:semiHidden/>
    <w:unhideWhenUsed/>
    <w:rPr>
      <w:b/>
      <w:bCs/>
    </w:rPr>
  </w:style>
  <w:style w:type="character" w:customStyle="1" w:styleId="aff0">
    <w:name w:val="コメント内容 (文字)"/>
    <w:basedOn w:val="10"/>
    <w:link w:val="aff"/>
    <w:uiPriority w:val="99"/>
    <w:semiHidden/>
    <w:rPr>
      <w:b/>
      <w:bCs/>
      <w:sz w:val="20"/>
      <w:szCs w:val="20"/>
    </w:rPr>
  </w:style>
  <w:style w:type="character" w:customStyle="1" w:styleId="10">
    <w:name w:val="コメント文字列 (文字)1"/>
    <w:link w:val="af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nfccc.int/topics/adaptation-and-resilience/workstreams/national-adaptation-plans-naps/guidelines-for-national-adaptation-plans-n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oSphzVQx5D/qszOIaatZsByr2cg==">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a-matsuo</cp:lastModifiedBy>
  <cp:revision>3</cp:revision>
  <dcterms:created xsi:type="dcterms:W3CDTF">2021-12-17T02:52:00Z</dcterms:created>
  <dcterms:modified xsi:type="dcterms:W3CDTF">2022-10-28T06:52:00Z</dcterms:modified>
</cp:coreProperties>
</file>